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0472F1">
      <w:pPr>
        <w:pStyle w:val="2"/>
        <w:numPr>
          <w:numId w:val="0"/>
        </w:numPr>
        <w:tabs>
          <w:tab w:val="clear" w:pos="0"/>
        </w:tabs>
        <w:ind w:leftChars="0"/>
      </w:pPr>
      <w:bookmarkStart w:id="0" w:name="_Toc950131468"/>
      <w:bookmarkStart w:id="1" w:name="_Toc750394761"/>
      <w:bookmarkStart w:id="2" w:name="福建水务营收系统-postgresql-16-容灾与资源申请说明"/>
      <w:r>
        <w:rPr>
          <w:rFonts w:hint="eastAsia"/>
        </w:rPr>
        <w:t>福建水务营收系统</w:t>
      </w:r>
      <w:r>
        <w:rPr>
          <w:rFonts w:hint="eastAsia"/>
          <w:lang w:val="en-US" w:eastAsia="zh-CN"/>
        </w:rPr>
        <w:t>数据库</w:t>
      </w:r>
      <w:r>
        <w:rPr>
          <w:rFonts w:hint="eastAsia"/>
        </w:rPr>
        <w:t>容灾与资源申请说明</w:t>
      </w:r>
      <w:bookmarkEnd w:id="0"/>
      <w:bookmarkEnd w:id="1"/>
    </w:p>
    <w:p w14:paraId="7C526904">
      <w:pPr>
        <w:pStyle w:val="3"/>
      </w:pPr>
      <w:bookmarkStart w:id="3" w:name="_Toc1860772943"/>
      <w:bookmarkStart w:id="4" w:name="文档信息"/>
      <w:r>
        <w:rPr>
          <w:rFonts w:hint="eastAsia"/>
        </w:rPr>
        <w:t>文档信息</w:t>
      </w:r>
      <w:bookmarkEnd w:id="3"/>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3542"/>
      </w:tblGrid>
      <w:tr w14:paraId="0E2C8FC1">
        <w:trPr>
          <w:tblHeader/>
        </w:trPr>
        <w:tc>
          <w:p w14:paraId="7CF65DBC">
            <w:r>
              <w:rPr>
                <w:rFonts w:hint="eastAsia"/>
              </w:rPr>
              <w:t>项目信息</w:t>
            </w:r>
          </w:p>
        </w:tc>
        <w:tc>
          <w:p w14:paraId="4F2FB315">
            <w:r>
              <w:rPr>
                <w:rFonts w:hint="eastAsia"/>
              </w:rPr>
              <w:t>详情</w:t>
            </w:r>
          </w:p>
        </w:tc>
      </w:tr>
      <w:tr w14:paraId="55D7E5AC">
        <w:tc>
          <w:p w14:paraId="06111D17">
            <w:r>
              <w:rPr>
                <w:rFonts w:hint="eastAsia"/>
                <w:b/>
                <w:bCs/>
              </w:rPr>
              <w:t>项目名称</w:t>
            </w:r>
          </w:p>
        </w:tc>
        <w:tc>
          <w:p w14:paraId="1DC5641E">
            <w:r>
              <w:rPr>
                <w:rFonts w:hint="eastAsia"/>
              </w:rPr>
              <w:t>福建水务营收系统</w:t>
            </w:r>
          </w:p>
        </w:tc>
      </w:tr>
      <w:tr w14:paraId="6D980E56">
        <w:tc>
          <w:p w14:paraId="31B3A93A">
            <w:r>
              <w:rPr>
                <w:rFonts w:hint="eastAsia"/>
                <w:b/>
                <w:bCs/>
              </w:rPr>
              <w:t>文档类型</w:t>
            </w:r>
          </w:p>
        </w:tc>
        <w:tc>
          <w:p w14:paraId="4A866DB4">
            <w:r>
              <w:rPr>
                <w:rFonts w:hint="eastAsia"/>
              </w:rPr>
              <w:t>技术专题说明</w:t>
            </w:r>
          </w:p>
        </w:tc>
      </w:tr>
      <w:tr w14:paraId="2550FFF0">
        <w:tc>
          <w:p w14:paraId="3DD72493">
            <w:r>
              <w:rPr>
                <w:rFonts w:hint="eastAsia"/>
                <w:b/>
                <w:bCs/>
              </w:rPr>
              <w:t>专题用途</w:t>
            </w:r>
          </w:p>
        </w:tc>
        <w:tc>
          <w:p w14:paraId="213D5750">
            <w:r>
              <w:rPr>
                <w:rFonts w:hint="eastAsia"/>
              </w:rPr>
              <w:t>申请</w:t>
            </w:r>
            <w:r>
              <w:t xml:space="preserve"> PostgreSQL 16 </w:t>
            </w:r>
            <w:r>
              <w:rPr>
                <w:rFonts w:hint="eastAsia"/>
              </w:rPr>
              <w:t>容灾部署资源</w:t>
            </w:r>
          </w:p>
        </w:tc>
      </w:tr>
      <w:tr w14:paraId="68BA7F9A">
        <w:tc>
          <w:p w14:paraId="7C45A24F">
            <w:r>
              <w:rPr>
                <w:rFonts w:hint="eastAsia"/>
                <w:b/>
                <w:bCs/>
              </w:rPr>
              <w:t>文档版本</w:t>
            </w:r>
          </w:p>
        </w:tc>
        <w:tc>
          <w:p w14:paraId="5855334F">
            <w:r>
              <w:t>v1.0</w:t>
            </w:r>
          </w:p>
        </w:tc>
      </w:tr>
      <w:tr w14:paraId="22C77645">
        <w:tc>
          <w:p w14:paraId="06B4E4DF">
            <w:r>
              <w:rPr>
                <w:rFonts w:hint="eastAsia"/>
                <w:b/>
                <w:bCs/>
              </w:rPr>
              <w:t>编写日期</w:t>
            </w:r>
          </w:p>
        </w:tc>
        <w:tc>
          <w:p w14:paraId="7412FD8D">
            <w:r>
              <w:t>2026-03-24</w:t>
            </w:r>
          </w:p>
        </w:tc>
      </w:tr>
      <w:tr w14:paraId="69923167">
        <w:tc>
          <w:p w14:paraId="0462FFCE">
            <w:r>
              <w:rPr>
                <w:rFonts w:hint="eastAsia"/>
                <w:b/>
                <w:bCs/>
              </w:rPr>
              <w:t>文档状态</w:t>
            </w:r>
          </w:p>
        </w:tc>
        <w:tc>
          <w:p w14:paraId="689F31F8">
            <w:r>
              <w:t xml:space="preserve">✅ </w:t>
            </w:r>
            <w:r>
              <w:rPr>
                <w:rFonts w:hint="eastAsia"/>
              </w:rPr>
              <w:t>正式建议稿</w:t>
            </w:r>
          </w:p>
        </w:tc>
      </w:tr>
      <w:bookmarkEnd w:id="4"/>
    </w:tbl>
    <w:p w14:paraId="4D5C2D1D">
      <w:bookmarkStart w:id="5" w:name="_Toc206501740"/>
      <w:bookmarkStart w:id="6" w:name="目录"/>
      <w:r>
        <w:rPr>
          <w:rFonts w:hint="eastAsia"/>
        </w:rPr>
        <w:br w:type="page"/>
      </w:r>
    </w:p>
    <w:p w14:paraId="2E2AEC89">
      <w:pPr>
        <w:pStyle w:val="3"/>
      </w:pPr>
      <w:r>
        <w:rPr>
          <w:rFonts w:hint="eastAsia"/>
        </w:rPr>
        <w:t>目录</w:t>
      </w:r>
      <w:bookmarkEnd w:id="5"/>
    </w:p>
    <w:sdt>
      <w:sdtPr>
        <w:rPr>
          <w:rFonts w:ascii="宋体" w:hAnsi="宋体" w:eastAsia="宋体" w:cs="Arial"/>
          <w:kern w:val="2"/>
          <w:sz w:val="21"/>
          <w:lang w:val="en-US" w:eastAsia="zh-CN" w:bidi="ar-SA"/>
        </w:rPr>
        <w:id w:val="825631799"/>
        <w15:color w:val="DBDBDB"/>
        <w:docPartObj>
          <w:docPartGallery w:val="Table of Contents"/>
          <w:docPartUnique/>
        </w:docPartObj>
      </w:sdtPr>
      <w:sdtEndPr>
        <w:rPr>
          <w:rFonts w:ascii="Arial" w:hAnsi="Arial" w:eastAsia="宋体" w:cs="Arial"/>
          <w:kern w:val="2"/>
          <w:sz w:val="21"/>
          <w:lang w:val="en-US" w:eastAsia="zh-CN" w:bidi="ar-SA"/>
        </w:rPr>
      </w:sdtEndPr>
      <w:sdtContent>
        <w:p w14:paraId="092CC61E">
          <w:pPr>
            <w:spacing w:before="0" w:beforeLines="0" w:after="0" w:afterLines="0" w:line="240" w:lineRule="auto"/>
            <w:ind w:left="0" w:leftChars="0" w:right="0" w:rightChars="0" w:firstLine="0" w:firstLineChars="0"/>
            <w:jc w:val="center"/>
          </w:pPr>
          <w:r>
            <w:rPr>
              <w:rFonts w:ascii="宋体" w:hAnsi="宋体" w:eastAsia="宋体"/>
              <w:sz w:val="21"/>
            </w:rPr>
            <w:t>目录</w:t>
          </w:r>
        </w:p>
        <w:p w14:paraId="2F33B132">
          <w:pPr>
            <w:pStyle w:val="17"/>
            <w:tabs>
              <w:tab w:val="right" w:leader="dot" w:pos="9354"/>
            </w:tabs>
          </w:pPr>
          <w:r>
            <w:rPr>
              <w:rFonts w:ascii="Arial" w:hAnsi="Arial" w:eastAsia="宋体" w:cs="Arial"/>
              <w:kern w:val="2"/>
              <w:sz w:val="21"/>
              <w:lang w:val="en-US" w:eastAsia="zh-CN" w:bidi="ar-SA"/>
            </w:rPr>
            <w:fldChar w:fldCharType="begin"/>
          </w:r>
          <w:r>
            <w:rPr>
              <w:rFonts w:ascii="Arial" w:hAnsi="Arial" w:eastAsia="宋体" w:cs="Arial"/>
              <w:kern w:val="2"/>
              <w:sz w:val="21"/>
              <w:lang w:val="en-US" w:eastAsia="zh-CN" w:bidi="ar-SA"/>
            </w:rPr>
            <w:instrText xml:space="preserve">TOC \o "1-2" \h \u </w:instrText>
          </w:r>
          <w:r>
            <w:rPr>
              <w:rFonts w:ascii="Arial" w:hAnsi="Arial" w:eastAsia="宋体" w:cs="Arial"/>
              <w:kern w:val="2"/>
              <w:sz w:val="21"/>
              <w:lang w:val="en-US" w:eastAsia="zh-CN" w:bidi="ar-SA"/>
            </w:rPr>
            <w:fldChar w:fldCharType="separate"/>
          </w:r>
          <w:r>
            <w:rPr>
              <w:rFonts w:ascii="Arial" w:hAnsi="Arial" w:eastAsia="宋体" w:cs="Arial"/>
              <w:kern w:val="2"/>
              <w:lang w:val="en-US" w:eastAsia="zh-CN" w:bidi="ar-SA"/>
            </w:rPr>
            <w:fldChar w:fldCharType="begin"/>
          </w:r>
          <w:r>
            <w:rPr>
              <w:rFonts w:ascii="Arial" w:hAnsi="Arial" w:eastAsia="宋体" w:cs="Arial"/>
              <w:kern w:val="2"/>
              <w:lang w:val="en-US" w:eastAsia="zh-CN" w:bidi="ar-SA"/>
            </w:rPr>
            <w:instrText xml:space="preserve"> HYPERLINK \l _Toc750394761 </w:instrText>
          </w:r>
          <w:r>
            <w:rPr>
              <w:rFonts w:ascii="Arial" w:hAnsi="Arial" w:eastAsia="宋体" w:cs="Arial"/>
              <w:kern w:val="2"/>
              <w:lang w:val="en-US" w:eastAsia="zh-CN" w:bidi="ar-SA"/>
            </w:rPr>
            <w:fldChar w:fldCharType="separate"/>
          </w:r>
          <w:r>
            <w:rPr>
              <w:rFonts w:hint="eastAsia"/>
            </w:rPr>
            <w:t>福建水务营收系统</w:t>
          </w:r>
          <w:r>
            <w:t xml:space="preserve"> PostgreSQL 16 </w:t>
          </w:r>
          <w:r>
            <w:rPr>
              <w:rFonts w:hint="eastAsia"/>
            </w:rPr>
            <w:t>容灾与资源申请说明</w:t>
          </w:r>
          <w:r>
            <w:tab/>
          </w:r>
          <w:r>
            <w:fldChar w:fldCharType="begin"/>
          </w:r>
          <w:r>
            <w:instrText xml:space="preserve"> PAGEREF _Toc750394761 \h </w:instrText>
          </w:r>
          <w:r>
            <w:fldChar w:fldCharType="separate"/>
          </w:r>
          <w:r>
            <w:t>1</w:t>
          </w:r>
          <w:r>
            <w:fldChar w:fldCharType="end"/>
          </w:r>
          <w:r>
            <w:rPr>
              <w:rFonts w:ascii="Arial" w:hAnsi="Arial" w:eastAsia="宋体" w:cs="Arial"/>
              <w:kern w:val="2"/>
              <w:lang w:val="en-US" w:eastAsia="zh-CN" w:bidi="ar-SA"/>
            </w:rPr>
            <w:fldChar w:fldCharType="end"/>
          </w:r>
        </w:p>
        <w:p w14:paraId="3DD62A23">
          <w:pPr>
            <w:pStyle w:val="19"/>
            <w:tabs>
              <w:tab w:val="right" w:leader="dot" w:pos="9354"/>
            </w:tabs>
          </w:pPr>
          <w:r>
            <w:rPr>
              <w:rFonts w:ascii="Arial" w:hAnsi="Arial" w:eastAsia="宋体" w:cs="Arial"/>
              <w:kern w:val="2"/>
              <w:lang w:val="en-US" w:eastAsia="zh-CN" w:bidi="ar-SA"/>
            </w:rPr>
            <w:fldChar w:fldCharType="begin"/>
          </w:r>
          <w:r>
            <w:rPr>
              <w:rFonts w:ascii="Arial" w:hAnsi="Arial" w:eastAsia="宋体" w:cs="Arial"/>
              <w:kern w:val="2"/>
              <w:lang w:val="en-US" w:eastAsia="zh-CN" w:bidi="ar-SA"/>
            </w:rPr>
            <w:instrText xml:space="preserve"> HYPERLINK \l _Toc1860772943 </w:instrText>
          </w:r>
          <w:r>
            <w:rPr>
              <w:rFonts w:ascii="Arial" w:hAnsi="Arial" w:eastAsia="宋体" w:cs="Arial"/>
              <w:kern w:val="2"/>
              <w:lang w:val="en-US" w:eastAsia="zh-CN" w:bidi="ar-SA"/>
            </w:rPr>
            <w:fldChar w:fldCharType="separate"/>
          </w:r>
          <w:r>
            <w:rPr>
              <w:rFonts w:hint="eastAsia"/>
            </w:rPr>
            <w:t>1.1 文档信息</w:t>
          </w:r>
          <w:r>
            <w:tab/>
          </w:r>
          <w:r>
            <w:fldChar w:fldCharType="begin"/>
          </w:r>
          <w:r>
            <w:instrText xml:space="preserve"> PAGEREF _Toc1860772943 \h </w:instrText>
          </w:r>
          <w:r>
            <w:fldChar w:fldCharType="separate"/>
          </w:r>
          <w:r>
            <w:t>1</w:t>
          </w:r>
          <w:r>
            <w:fldChar w:fldCharType="end"/>
          </w:r>
          <w:r>
            <w:rPr>
              <w:rFonts w:ascii="Arial" w:hAnsi="Arial" w:eastAsia="宋体" w:cs="Arial"/>
              <w:kern w:val="2"/>
              <w:lang w:val="en-US" w:eastAsia="zh-CN" w:bidi="ar-SA"/>
            </w:rPr>
            <w:fldChar w:fldCharType="end"/>
          </w:r>
        </w:p>
        <w:p w14:paraId="131B7470">
          <w:pPr>
            <w:pStyle w:val="19"/>
            <w:tabs>
              <w:tab w:val="right" w:leader="dot" w:pos="9354"/>
            </w:tabs>
          </w:pPr>
          <w:r>
            <w:rPr>
              <w:rFonts w:ascii="Arial" w:hAnsi="Arial" w:eastAsia="宋体" w:cs="Arial"/>
              <w:kern w:val="2"/>
              <w:lang w:val="en-US" w:eastAsia="zh-CN" w:bidi="ar-SA"/>
            </w:rPr>
            <w:fldChar w:fldCharType="begin"/>
          </w:r>
          <w:r>
            <w:rPr>
              <w:rFonts w:ascii="Arial" w:hAnsi="Arial" w:eastAsia="宋体" w:cs="Arial"/>
              <w:kern w:val="2"/>
              <w:lang w:val="en-US" w:eastAsia="zh-CN" w:bidi="ar-SA"/>
            </w:rPr>
            <w:instrText xml:space="preserve"> HYPERLINK \l _Toc206501740 </w:instrText>
          </w:r>
          <w:r>
            <w:rPr>
              <w:rFonts w:ascii="Arial" w:hAnsi="Arial" w:eastAsia="宋体" w:cs="Arial"/>
              <w:kern w:val="2"/>
              <w:lang w:val="en-US" w:eastAsia="zh-CN" w:bidi="ar-SA"/>
            </w:rPr>
            <w:fldChar w:fldCharType="separate"/>
          </w:r>
          <w:r>
            <w:rPr>
              <w:rFonts w:hint="eastAsia"/>
            </w:rPr>
            <w:t>1.2 目录</w:t>
          </w:r>
          <w:r>
            <w:tab/>
          </w:r>
          <w:r>
            <w:fldChar w:fldCharType="begin"/>
          </w:r>
          <w:r>
            <w:instrText xml:space="preserve"> PAGEREF _Toc206501740 \h </w:instrText>
          </w:r>
          <w:r>
            <w:fldChar w:fldCharType="separate"/>
          </w:r>
          <w:r>
            <w:t>1</w:t>
          </w:r>
          <w:r>
            <w:fldChar w:fldCharType="end"/>
          </w:r>
          <w:r>
            <w:rPr>
              <w:rFonts w:ascii="Arial" w:hAnsi="Arial" w:eastAsia="宋体" w:cs="Arial"/>
              <w:kern w:val="2"/>
              <w:lang w:val="en-US" w:eastAsia="zh-CN" w:bidi="ar-SA"/>
            </w:rPr>
            <w:fldChar w:fldCharType="end"/>
          </w:r>
        </w:p>
        <w:p w14:paraId="5EF229E3">
          <w:pPr>
            <w:pStyle w:val="19"/>
            <w:tabs>
              <w:tab w:val="right" w:leader="dot" w:pos="9354"/>
            </w:tabs>
          </w:pPr>
          <w:r>
            <w:rPr>
              <w:rFonts w:ascii="Arial" w:hAnsi="Arial" w:eastAsia="宋体" w:cs="Arial"/>
              <w:kern w:val="2"/>
              <w:lang w:val="en-US" w:eastAsia="zh-CN" w:bidi="ar-SA"/>
            </w:rPr>
            <w:fldChar w:fldCharType="begin"/>
          </w:r>
          <w:r>
            <w:rPr>
              <w:rFonts w:ascii="Arial" w:hAnsi="Arial" w:eastAsia="宋体" w:cs="Arial"/>
              <w:kern w:val="2"/>
              <w:lang w:val="en-US" w:eastAsia="zh-CN" w:bidi="ar-SA"/>
            </w:rPr>
            <w:instrText xml:space="preserve"> HYPERLINK \l _Toc341170628 </w:instrText>
          </w:r>
          <w:r>
            <w:rPr>
              <w:rFonts w:ascii="Arial" w:hAnsi="Arial" w:eastAsia="宋体" w:cs="Arial"/>
              <w:kern w:val="2"/>
              <w:lang w:val="en-US" w:eastAsia="zh-CN" w:bidi="ar-SA"/>
            </w:rPr>
            <w:fldChar w:fldCharType="separate"/>
          </w:r>
          <w:r>
            <w:rPr>
              <w:rFonts w:hint="eastAsia"/>
            </w:rPr>
            <w:t>1.3 编制目的</w:t>
          </w:r>
          <w:r>
            <w:tab/>
          </w:r>
          <w:r>
            <w:fldChar w:fldCharType="begin"/>
          </w:r>
          <w:r>
            <w:instrText xml:space="preserve"> PAGEREF _Toc341170628 \h </w:instrText>
          </w:r>
          <w:r>
            <w:fldChar w:fldCharType="separate"/>
          </w:r>
          <w:r>
            <w:t>2</w:t>
          </w:r>
          <w:r>
            <w:fldChar w:fldCharType="end"/>
          </w:r>
          <w:r>
            <w:rPr>
              <w:rFonts w:ascii="Arial" w:hAnsi="Arial" w:eastAsia="宋体" w:cs="Arial"/>
              <w:kern w:val="2"/>
              <w:lang w:val="en-US" w:eastAsia="zh-CN" w:bidi="ar-SA"/>
            </w:rPr>
            <w:fldChar w:fldCharType="end"/>
          </w:r>
        </w:p>
        <w:p w14:paraId="4443AD10">
          <w:pPr>
            <w:pStyle w:val="19"/>
            <w:tabs>
              <w:tab w:val="right" w:leader="dot" w:pos="9354"/>
            </w:tabs>
          </w:pPr>
          <w:r>
            <w:rPr>
              <w:rFonts w:ascii="Arial" w:hAnsi="Arial" w:eastAsia="宋体" w:cs="Arial"/>
              <w:kern w:val="2"/>
              <w:lang w:val="en-US" w:eastAsia="zh-CN" w:bidi="ar-SA"/>
            </w:rPr>
            <w:fldChar w:fldCharType="begin"/>
          </w:r>
          <w:r>
            <w:rPr>
              <w:rFonts w:ascii="Arial" w:hAnsi="Arial" w:eastAsia="宋体" w:cs="Arial"/>
              <w:kern w:val="2"/>
              <w:lang w:val="en-US" w:eastAsia="zh-CN" w:bidi="ar-SA"/>
            </w:rPr>
            <w:instrText xml:space="preserve"> HYPERLINK \l _Toc273407306 </w:instrText>
          </w:r>
          <w:r>
            <w:rPr>
              <w:rFonts w:ascii="Arial" w:hAnsi="Arial" w:eastAsia="宋体" w:cs="Arial"/>
              <w:kern w:val="2"/>
              <w:lang w:val="en-US" w:eastAsia="zh-CN" w:bidi="ar-SA"/>
            </w:rPr>
            <w:fldChar w:fldCharType="separate"/>
          </w:r>
          <w:r>
            <w:rPr>
              <w:rFonts w:hint="eastAsia"/>
            </w:rPr>
            <w:t>1.4 适用范围与说明</w:t>
          </w:r>
          <w:r>
            <w:tab/>
          </w:r>
          <w:r>
            <w:fldChar w:fldCharType="begin"/>
          </w:r>
          <w:r>
            <w:instrText xml:space="preserve"> PAGEREF _Toc273407306 \h </w:instrText>
          </w:r>
          <w:r>
            <w:fldChar w:fldCharType="separate"/>
          </w:r>
          <w:r>
            <w:t>2</w:t>
          </w:r>
          <w:r>
            <w:fldChar w:fldCharType="end"/>
          </w:r>
          <w:r>
            <w:rPr>
              <w:rFonts w:ascii="Arial" w:hAnsi="Arial" w:eastAsia="宋体" w:cs="Arial"/>
              <w:kern w:val="2"/>
              <w:lang w:val="en-US" w:eastAsia="zh-CN" w:bidi="ar-SA"/>
            </w:rPr>
            <w:fldChar w:fldCharType="end"/>
          </w:r>
        </w:p>
        <w:p w14:paraId="05B4838A">
          <w:pPr>
            <w:pStyle w:val="19"/>
            <w:tabs>
              <w:tab w:val="right" w:leader="dot" w:pos="9354"/>
            </w:tabs>
          </w:pPr>
          <w:r>
            <w:rPr>
              <w:rFonts w:ascii="Arial" w:hAnsi="Arial" w:eastAsia="宋体" w:cs="Arial"/>
              <w:kern w:val="2"/>
              <w:lang w:val="en-US" w:eastAsia="zh-CN" w:bidi="ar-SA"/>
            </w:rPr>
            <w:fldChar w:fldCharType="begin"/>
          </w:r>
          <w:r>
            <w:rPr>
              <w:rFonts w:ascii="Arial" w:hAnsi="Arial" w:eastAsia="宋体" w:cs="Arial"/>
              <w:kern w:val="2"/>
              <w:lang w:val="en-US" w:eastAsia="zh-CN" w:bidi="ar-SA"/>
            </w:rPr>
            <w:instrText xml:space="preserve"> HYPERLINK \l _Toc1689071009 </w:instrText>
          </w:r>
          <w:r>
            <w:rPr>
              <w:rFonts w:ascii="Arial" w:hAnsi="Arial" w:eastAsia="宋体" w:cs="Arial"/>
              <w:kern w:val="2"/>
              <w:lang w:val="en-US" w:eastAsia="zh-CN" w:bidi="ar-SA"/>
            </w:rPr>
            <w:fldChar w:fldCharType="separate"/>
          </w:r>
          <w:r>
            <w:rPr>
              <w:rFonts w:hint="eastAsia"/>
            </w:rPr>
            <w:t>1.5 容灾建设目标</w:t>
          </w:r>
          <w:r>
            <w:tab/>
          </w:r>
          <w:r>
            <w:fldChar w:fldCharType="begin"/>
          </w:r>
          <w:r>
            <w:instrText xml:space="preserve"> PAGEREF _Toc1689071009 \h </w:instrText>
          </w:r>
          <w:r>
            <w:fldChar w:fldCharType="separate"/>
          </w:r>
          <w:r>
            <w:t>2</w:t>
          </w:r>
          <w:r>
            <w:fldChar w:fldCharType="end"/>
          </w:r>
          <w:r>
            <w:rPr>
              <w:rFonts w:ascii="Arial" w:hAnsi="Arial" w:eastAsia="宋体" w:cs="Arial"/>
              <w:kern w:val="2"/>
              <w:lang w:val="en-US" w:eastAsia="zh-CN" w:bidi="ar-SA"/>
            </w:rPr>
            <w:fldChar w:fldCharType="end"/>
          </w:r>
        </w:p>
        <w:p w14:paraId="0296CE12">
          <w:pPr>
            <w:pStyle w:val="19"/>
            <w:tabs>
              <w:tab w:val="right" w:leader="dot" w:pos="9354"/>
            </w:tabs>
          </w:pPr>
          <w:r>
            <w:rPr>
              <w:rFonts w:ascii="Arial" w:hAnsi="Arial" w:eastAsia="宋体" w:cs="Arial"/>
              <w:kern w:val="2"/>
              <w:lang w:val="en-US" w:eastAsia="zh-CN" w:bidi="ar-SA"/>
            </w:rPr>
            <w:fldChar w:fldCharType="begin"/>
          </w:r>
          <w:r>
            <w:rPr>
              <w:rFonts w:ascii="Arial" w:hAnsi="Arial" w:eastAsia="宋体" w:cs="Arial"/>
              <w:kern w:val="2"/>
              <w:lang w:val="en-US" w:eastAsia="zh-CN" w:bidi="ar-SA"/>
            </w:rPr>
            <w:instrText xml:space="preserve"> HYPERLINK \l _Toc630118570 </w:instrText>
          </w:r>
          <w:r>
            <w:rPr>
              <w:rFonts w:ascii="Arial" w:hAnsi="Arial" w:eastAsia="宋体" w:cs="Arial"/>
              <w:kern w:val="2"/>
              <w:lang w:val="en-US" w:eastAsia="zh-CN" w:bidi="ar-SA"/>
            </w:rPr>
            <w:fldChar w:fldCharType="separate"/>
          </w:r>
          <w:r>
            <w:rPr>
              <w:rFonts w:hint="eastAsia"/>
            </w:rPr>
            <w:t>1.6 容灾形态说明</w:t>
          </w:r>
          <w:r>
            <w:tab/>
          </w:r>
          <w:r>
            <w:fldChar w:fldCharType="begin"/>
          </w:r>
          <w:r>
            <w:instrText xml:space="preserve"> PAGEREF _Toc630118570 \h </w:instrText>
          </w:r>
          <w:r>
            <w:fldChar w:fldCharType="separate"/>
          </w:r>
          <w:r>
            <w:t>2</w:t>
          </w:r>
          <w:r>
            <w:fldChar w:fldCharType="end"/>
          </w:r>
          <w:r>
            <w:rPr>
              <w:rFonts w:ascii="Arial" w:hAnsi="Arial" w:eastAsia="宋体" w:cs="Arial"/>
              <w:kern w:val="2"/>
              <w:lang w:val="en-US" w:eastAsia="zh-CN" w:bidi="ar-SA"/>
            </w:rPr>
            <w:fldChar w:fldCharType="end"/>
          </w:r>
        </w:p>
        <w:p w14:paraId="49EABDE0">
          <w:pPr>
            <w:pStyle w:val="19"/>
            <w:tabs>
              <w:tab w:val="right" w:leader="dot" w:pos="9354"/>
            </w:tabs>
          </w:pPr>
          <w:r>
            <w:rPr>
              <w:rFonts w:ascii="Arial" w:hAnsi="Arial" w:eastAsia="宋体" w:cs="Arial"/>
              <w:kern w:val="2"/>
              <w:lang w:val="en-US" w:eastAsia="zh-CN" w:bidi="ar-SA"/>
            </w:rPr>
            <w:fldChar w:fldCharType="begin"/>
          </w:r>
          <w:r>
            <w:rPr>
              <w:rFonts w:ascii="Arial" w:hAnsi="Arial" w:eastAsia="宋体" w:cs="Arial"/>
              <w:kern w:val="2"/>
              <w:lang w:val="en-US" w:eastAsia="zh-CN" w:bidi="ar-SA"/>
            </w:rPr>
            <w:instrText xml:space="preserve"> HYPERLINK \l _Toc1160942633 </w:instrText>
          </w:r>
          <w:r>
            <w:rPr>
              <w:rFonts w:ascii="Arial" w:hAnsi="Arial" w:eastAsia="宋体" w:cs="Arial"/>
              <w:kern w:val="2"/>
              <w:lang w:val="en-US" w:eastAsia="zh-CN" w:bidi="ar-SA"/>
            </w:rPr>
            <w:fldChar w:fldCharType="separate"/>
          </w:r>
          <w:r>
            <w:rPr>
              <w:rFonts w:hint="eastAsia"/>
            </w:rPr>
            <w:t>1.7 资源配比原则</w:t>
          </w:r>
          <w:r>
            <w:tab/>
          </w:r>
          <w:r>
            <w:fldChar w:fldCharType="begin"/>
          </w:r>
          <w:r>
            <w:instrText xml:space="preserve"> PAGEREF _Toc1160942633 \h </w:instrText>
          </w:r>
          <w:r>
            <w:fldChar w:fldCharType="separate"/>
          </w:r>
          <w:r>
            <w:t>6</w:t>
          </w:r>
          <w:r>
            <w:fldChar w:fldCharType="end"/>
          </w:r>
          <w:r>
            <w:rPr>
              <w:rFonts w:ascii="Arial" w:hAnsi="Arial" w:eastAsia="宋体" w:cs="Arial"/>
              <w:kern w:val="2"/>
              <w:lang w:val="en-US" w:eastAsia="zh-CN" w:bidi="ar-SA"/>
            </w:rPr>
            <w:fldChar w:fldCharType="end"/>
          </w:r>
        </w:p>
        <w:p w14:paraId="6A4703F6">
          <w:pPr>
            <w:pStyle w:val="19"/>
            <w:tabs>
              <w:tab w:val="right" w:leader="dot" w:pos="9354"/>
            </w:tabs>
          </w:pPr>
          <w:r>
            <w:rPr>
              <w:rFonts w:ascii="Arial" w:hAnsi="Arial" w:eastAsia="宋体" w:cs="Arial"/>
              <w:kern w:val="2"/>
              <w:lang w:val="en-US" w:eastAsia="zh-CN" w:bidi="ar-SA"/>
            </w:rPr>
            <w:fldChar w:fldCharType="begin"/>
          </w:r>
          <w:r>
            <w:rPr>
              <w:rFonts w:ascii="Arial" w:hAnsi="Arial" w:eastAsia="宋体" w:cs="Arial"/>
              <w:kern w:val="2"/>
              <w:lang w:val="en-US" w:eastAsia="zh-CN" w:bidi="ar-SA"/>
            </w:rPr>
            <w:instrText xml:space="preserve"> HYPERLINK \l _Toc2073899836 </w:instrText>
          </w:r>
          <w:r>
            <w:rPr>
              <w:rFonts w:ascii="Arial" w:hAnsi="Arial" w:eastAsia="宋体" w:cs="Arial"/>
              <w:kern w:val="2"/>
              <w:lang w:val="en-US" w:eastAsia="zh-CN" w:bidi="ar-SA"/>
            </w:rPr>
            <w:fldChar w:fldCharType="separate"/>
          </w:r>
          <w:r>
            <w:rPr>
              <w:rFonts w:hint="eastAsia"/>
            </w:rPr>
            <w:t>1.8 推荐部署方案</w:t>
          </w:r>
          <w:r>
            <w:tab/>
          </w:r>
          <w:r>
            <w:fldChar w:fldCharType="begin"/>
          </w:r>
          <w:r>
            <w:instrText xml:space="preserve"> PAGEREF _Toc2073899836 \h </w:instrText>
          </w:r>
          <w:r>
            <w:fldChar w:fldCharType="separate"/>
          </w:r>
          <w:r>
            <w:t>7</w:t>
          </w:r>
          <w:r>
            <w:fldChar w:fldCharType="end"/>
          </w:r>
          <w:r>
            <w:rPr>
              <w:rFonts w:ascii="Arial" w:hAnsi="Arial" w:eastAsia="宋体" w:cs="Arial"/>
              <w:kern w:val="2"/>
              <w:lang w:val="en-US" w:eastAsia="zh-CN" w:bidi="ar-SA"/>
            </w:rPr>
            <w:fldChar w:fldCharType="end"/>
          </w:r>
        </w:p>
        <w:p w14:paraId="61971F61">
          <w:pPr>
            <w:pStyle w:val="19"/>
            <w:tabs>
              <w:tab w:val="right" w:leader="dot" w:pos="9354"/>
            </w:tabs>
          </w:pPr>
          <w:r>
            <w:rPr>
              <w:rFonts w:ascii="Arial" w:hAnsi="Arial" w:eastAsia="宋体" w:cs="Arial"/>
              <w:kern w:val="2"/>
              <w:lang w:val="en-US" w:eastAsia="zh-CN" w:bidi="ar-SA"/>
            </w:rPr>
            <w:fldChar w:fldCharType="begin"/>
          </w:r>
          <w:r>
            <w:rPr>
              <w:rFonts w:ascii="Arial" w:hAnsi="Arial" w:eastAsia="宋体" w:cs="Arial"/>
              <w:kern w:val="2"/>
              <w:lang w:val="en-US" w:eastAsia="zh-CN" w:bidi="ar-SA"/>
            </w:rPr>
            <w:instrText xml:space="preserve"> HYPERLINK \l _Toc227469195 </w:instrText>
          </w:r>
          <w:r>
            <w:rPr>
              <w:rFonts w:ascii="Arial" w:hAnsi="Arial" w:eastAsia="宋体" w:cs="Arial"/>
              <w:kern w:val="2"/>
              <w:lang w:val="en-US" w:eastAsia="zh-CN" w:bidi="ar-SA"/>
            </w:rPr>
            <w:fldChar w:fldCharType="separate"/>
          </w:r>
          <w:r>
            <w:rPr>
              <w:rFonts w:hint="eastAsia"/>
            </w:rPr>
            <w:t>1.9 甲方审批汇总表</w:t>
          </w:r>
          <w:r>
            <w:tab/>
          </w:r>
          <w:r>
            <w:fldChar w:fldCharType="begin"/>
          </w:r>
          <w:r>
            <w:instrText xml:space="preserve"> PAGEREF _Toc227469195 \h </w:instrText>
          </w:r>
          <w:r>
            <w:fldChar w:fldCharType="separate"/>
          </w:r>
          <w:r>
            <w:t>8</w:t>
          </w:r>
          <w:r>
            <w:fldChar w:fldCharType="end"/>
          </w:r>
          <w:r>
            <w:rPr>
              <w:rFonts w:ascii="Arial" w:hAnsi="Arial" w:eastAsia="宋体" w:cs="Arial"/>
              <w:kern w:val="2"/>
              <w:lang w:val="en-US" w:eastAsia="zh-CN" w:bidi="ar-SA"/>
            </w:rPr>
            <w:fldChar w:fldCharType="end"/>
          </w:r>
        </w:p>
        <w:p w14:paraId="6DEDD846">
          <w:pPr>
            <w:pStyle w:val="19"/>
            <w:tabs>
              <w:tab w:val="right" w:leader="dot" w:pos="9354"/>
            </w:tabs>
          </w:pPr>
          <w:r>
            <w:rPr>
              <w:rFonts w:ascii="Arial" w:hAnsi="Arial" w:eastAsia="宋体" w:cs="Arial"/>
              <w:kern w:val="2"/>
              <w:lang w:val="en-US" w:eastAsia="zh-CN" w:bidi="ar-SA"/>
            </w:rPr>
            <w:fldChar w:fldCharType="begin"/>
          </w:r>
          <w:r>
            <w:rPr>
              <w:rFonts w:ascii="Arial" w:hAnsi="Arial" w:eastAsia="宋体" w:cs="Arial"/>
              <w:kern w:val="2"/>
              <w:lang w:val="en-US" w:eastAsia="zh-CN" w:bidi="ar-SA"/>
            </w:rPr>
            <w:instrText xml:space="preserve"> HYPERLINK \l _Toc553868705 </w:instrText>
          </w:r>
          <w:r>
            <w:rPr>
              <w:rFonts w:ascii="Arial" w:hAnsi="Arial" w:eastAsia="宋体" w:cs="Arial"/>
              <w:kern w:val="2"/>
              <w:lang w:val="en-US" w:eastAsia="zh-CN" w:bidi="ar-SA"/>
            </w:rPr>
            <w:fldChar w:fldCharType="separate"/>
          </w:r>
          <w:r>
            <w:rPr>
              <w:rFonts w:hint="eastAsia"/>
            </w:rPr>
            <w:t>1.10 详细资源申请清单</w:t>
          </w:r>
          <w:r>
            <w:tab/>
          </w:r>
          <w:r>
            <w:fldChar w:fldCharType="begin"/>
          </w:r>
          <w:r>
            <w:instrText xml:space="preserve"> PAGEREF _Toc553868705 \h </w:instrText>
          </w:r>
          <w:r>
            <w:fldChar w:fldCharType="separate"/>
          </w:r>
          <w:r>
            <w:t>12</w:t>
          </w:r>
          <w:r>
            <w:fldChar w:fldCharType="end"/>
          </w:r>
          <w:r>
            <w:rPr>
              <w:rFonts w:ascii="Arial" w:hAnsi="Arial" w:eastAsia="宋体" w:cs="Arial"/>
              <w:kern w:val="2"/>
              <w:lang w:val="en-US" w:eastAsia="zh-CN" w:bidi="ar-SA"/>
            </w:rPr>
            <w:fldChar w:fldCharType="end"/>
          </w:r>
        </w:p>
        <w:p w14:paraId="55F8E762">
          <w:pPr>
            <w:pStyle w:val="19"/>
            <w:tabs>
              <w:tab w:val="right" w:leader="dot" w:pos="9354"/>
            </w:tabs>
          </w:pPr>
          <w:r>
            <w:rPr>
              <w:rFonts w:ascii="Arial" w:hAnsi="Arial" w:eastAsia="宋体" w:cs="Arial"/>
              <w:kern w:val="2"/>
              <w:lang w:val="en-US" w:eastAsia="zh-CN" w:bidi="ar-SA"/>
            </w:rPr>
            <w:fldChar w:fldCharType="begin"/>
          </w:r>
          <w:r>
            <w:rPr>
              <w:rFonts w:ascii="Arial" w:hAnsi="Arial" w:eastAsia="宋体" w:cs="Arial"/>
              <w:kern w:val="2"/>
              <w:lang w:val="en-US" w:eastAsia="zh-CN" w:bidi="ar-SA"/>
            </w:rPr>
            <w:instrText xml:space="preserve"> HYPERLINK \l _Toc1677198837 </w:instrText>
          </w:r>
          <w:r>
            <w:rPr>
              <w:rFonts w:ascii="Arial" w:hAnsi="Arial" w:eastAsia="宋体" w:cs="Arial"/>
              <w:kern w:val="2"/>
              <w:lang w:val="en-US" w:eastAsia="zh-CN" w:bidi="ar-SA"/>
            </w:rPr>
            <w:fldChar w:fldCharType="separate"/>
          </w:r>
          <w:r>
            <w:rPr>
              <w:rFonts w:hint="eastAsia"/>
            </w:rPr>
            <w:t>1.11 网络与存储要求</w:t>
          </w:r>
          <w:r>
            <w:tab/>
          </w:r>
          <w:r>
            <w:fldChar w:fldCharType="begin"/>
          </w:r>
          <w:r>
            <w:instrText xml:space="preserve"> PAGEREF _Toc1677198837 \h </w:instrText>
          </w:r>
          <w:r>
            <w:fldChar w:fldCharType="separate"/>
          </w:r>
          <w:r>
            <w:t>14</w:t>
          </w:r>
          <w:r>
            <w:fldChar w:fldCharType="end"/>
          </w:r>
          <w:r>
            <w:rPr>
              <w:rFonts w:ascii="Arial" w:hAnsi="Arial" w:eastAsia="宋体" w:cs="Arial"/>
              <w:kern w:val="2"/>
              <w:lang w:val="en-US" w:eastAsia="zh-CN" w:bidi="ar-SA"/>
            </w:rPr>
            <w:fldChar w:fldCharType="end"/>
          </w:r>
        </w:p>
        <w:p w14:paraId="46F81B59">
          <w:pPr>
            <w:pStyle w:val="19"/>
            <w:tabs>
              <w:tab w:val="right" w:leader="dot" w:pos="9354"/>
            </w:tabs>
          </w:pPr>
          <w:r>
            <w:rPr>
              <w:rFonts w:ascii="Arial" w:hAnsi="Arial" w:eastAsia="宋体" w:cs="Arial"/>
              <w:kern w:val="2"/>
              <w:lang w:val="en-US" w:eastAsia="zh-CN" w:bidi="ar-SA"/>
            </w:rPr>
            <w:fldChar w:fldCharType="begin"/>
          </w:r>
          <w:r>
            <w:rPr>
              <w:rFonts w:ascii="Arial" w:hAnsi="Arial" w:eastAsia="宋体" w:cs="Arial"/>
              <w:kern w:val="2"/>
              <w:lang w:val="en-US" w:eastAsia="zh-CN" w:bidi="ar-SA"/>
            </w:rPr>
            <w:instrText xml:space="preserve"> HYPERLINK \l _Toc810502937 </w:instrText>
          </w:r>
          <w:r>
            <w:rPr>
              <w:rFonts w:ascii="Arial" w:hAnsi="Arial" w:eastAsia="宋体" w:cs="Arial"/>
              <w:kern w:val="2"/>
              <w:lang w:val="en-US" w:eastAsia="zh-CN" w:bidi="ar-SA"/>
            </w:rPr>
            <w:fldChar w:fldCharType="separate"/>
          </w:r>
          <w:r>
            <w:rPr>
              <w:rFonts w:hint="eastAsia"/>
            </w:rPr>
            <w:t>1.12 数据库代理与连接接入方案</w:t>
          </w:r>
          <w:r>
            <w:tab/>
          </w:r>
          <w:r>
            <w:fldChar w:fldCharType="begin"/>
          </w:r>
          <w:r>
            <w:instrText xml:space="preserve"> PAGEREF _Toc810502937 \h </w:instrText>
          </w:r>
          <w:r>
            <w:fldChar w:fldCharType="separate"/>
          </w:r>
          <w:r>
            <w:t>14</w:t>
          </w:r>
          <w:r>
            <w:fldChar w:fldCharType="end"/>
          </w:r>
          <w:r>
            <w:rPr>
              <w:rFonts w:ascii="Arial" w:hAnsi="Arial" w:eastAsia="宋体" w:cs="Arial"/>
              <w:kern w:val="2"/>
              <w:lang w:val="en-US" w:eastAsia="zh-CN" w:bidi="ar-SA"/>
            </w:rPr>
            <w:fldChar w:fldCharType="end"/>
          </w:r>
        </w:p>
        <w:p w14:paraId="5885FF8E">
          <w:pPr>
            <w:pStyle w:val="19"/>
            <w:tabs>
              <w:tab w:val="right" w:leader="dot" w:pos="9354"/>
            </w:tabs>
          </w:pPr>
          <w:r>
            <w:rPr>
              <w:rFonts w:ascii="Arial" w:hAnsi="Arial" w:eastAsia="宋体" w:cs="Arial"/>
              <w:kern w:val="2"/>
              <w:lang w:val="en-US" w:eastAsia="zh-CN" w:bidi="ar-SA"/>
            </w:rPr>
            <w:fldChar w:fldCharType="begin"/>
          </w:r>
          <w:r>
            <w:rPr>
              <w:rFonts w:ascii="Arial" w:hAnsi="Arial" w:eastAsia="宋体" w:cs="Arial"/>
              <w:kern w:val="2"/>
              <w:lang w:val="en-US" w:eastAsia="zh-CN" w:bidi="ar-SA"/>
            </w:rPr>
            <w:instrText xml:space="preserve"> HYPERLINK \l _Toc634089238 </w:instrText>
          </w:r>
          <w:r>
            <w:rPr>
              <w:rFonts w:ascii="Arial" w:hAnsi="Arial" w:eastAsia="宋体" w:cs="Arial"/>
              <w:kern w:val="2"/>
              <w:lang w:val="en-US" w:eastAsia="zh-CN" w:bidi="ar-SA"/>
            </w:rPr>
            <w:fldChar w:fldCharType="separate"/>
          </w:r>
          <w:r>
            <w:rPr>
              <w:rFonts w:hint="eastAsia"/>
            </w:rPr>
            <w:t>1.13 部署实施说明</w:t>
          </w:r>
          <w:r>
            <w:tab/>
          </w:r>
          <w:r>
            <w:fldChar w:fldCharType="begin"/>
          </w:r>
          <w:r>
            <w:instrText xml:space="preserve"> PAGEREF _Toc634089238 \h </w:instrText>
          </w:r>
          <w:r>
            <w:fldChar w:fldCharType="separate"/>
          </w:r>
          <w:r>
            <w:t>19</w:t>
          </w:r>
          <w:r>
            <w:fldChar w:fldCharType="end"/>
          </w:r>
          <w:r>
            <w:rPr>
              <w:rFonts w:ascii="Arial" w:hAnsi="Arial" w:eastAsia="宋体" w:cs="Arial"/>
              <w:kern w:val="2"/>
              <w:lang w:val="en-US" w:eastAsia="zh-CN" w:bidi="ar-SA"/>
            </w:rPr>
            <w:fldChar w:fldCharType="end"/>
          </w:r>
        </w:p>
        <w:p w14:paraId="0E15112A">
          <w:pPr>
            <w:pStyle w:val="19"/>
            <w:tabs>
              <w:tab w:val="right" w:leader="dot" w:pos="9354"/>
            </w:tabs>
          </w:pPr>
          <w:r>
            <w:rPr>
              <w:rFonts w:ascii="Arial" w:hAnsi="Arial" w:eastAsia="宋体" w:cs="Arial"/>
              <w:kern w:val="2"/>
              <w:lang w:val="en-US" w:eastAsia="zh-CN" w:bidi="ar-SA"/>
            </w:rPr>
            <w:fldChar w:fldCharType="begin"/>
          </w:r>
          <w:r>
            <w:rPr>
              <w:rFonts w:ascii="Arial" w:hAnsi="Arial" w:eastAsia="宋体" w:cs="Arial"/>
              <w:kern w:val="2"/>
              <w:lang w:val="en-US" w:eastAsia="zh-CN" w:bidi="ar-SA"/>
            </w:rPr>
            <w:instrText xml:space="preserve"> HYPERLINK \l _Toc1323966652 </w:instrText>
          </w:r>
          <w:r>
            <w:rPr>
              <w:rFonts w:ascii="Arial" w:hAnsi="Arial" w:eastAsia="宋体" w:cs="Arial"/>
              <w:kern w:val="2"/>
              <w:lang w:val="en-US" w:eastAsia="zh-CN" w:bidi="ar-SA"/>
            </w:rPr>
            <w:fldChar w:fldCharType="separate"/>
          </w:r>
          <w:r>
            <w:rPr>
              <w:rFonts w:hint="eastAsia"/>
            </w:rPr>
            <w:t>1.14 切换与恢复说明</w:t>
          </w:r>
          <w:r>
            <w:tab/>
          </w:r>
          <w:r>
            <w:fldChar w:fldCharType="begin"/>
          </w:r>
          <w:r>
            <w:instrText xml:space="preserve"> PAGEREF _Toc1323966652 \h </w:instrText>
          </w:r>
          <w:r>
            <w:fldChar w:fldCharType="separate"/>
          </w:r>
          <w:r>
            <w:t>20</w:t>
          </w:r>
          <w:r>
            <w:fldChar w:fldCharType="end"/>
          </w:r>
          <w:r>
            <w:rPr>
              <w:rFonts w:ascii="Arial" w:hAnsi="Arial" w:eastAsia="宋体" w:cs="Arial"/>
              <w:kern w:val="2"/>
              <w:lang w:val="en-US" w:eastAsia="zh-CN" w:bidi="ar-SA"/>
            </w:rPr>
            <w:fldChar w:fldCharType="end"/>
          </w:r>
        </w:p>
        <w:p w14:paraId="20B71AEE">
          <w:pPr>
            <w:pStyle w:val="19"/>
            <w:tabs>
              <w:tab w:val="right" w:leader="dot" w:pos="9354"/>
            </w:tabs>
          </w:pPr>
          <w:r>
            <w:rPr>
              <w:rFonts w:ascii="Arial" w:hAnsi="Arial" w:eastAsia="宋体" w:cs="Arial"/>
              <w:kern w:val="2"/>
              <w:lang w:val="en-US" w:eastAsia="zh-CN" w:bidi="ar-SA"/>
            </w:rPr>
            <w:fldChar w:fldCharType="begin"/>
          </w:r>
          <w:r>
            <w:rPr>
              <w:rFonts w:ascii="Arial" w:hAnsi="Arial" w:eastAsia="宋体" w:cs="Arial"/>
              <w:kern w:val="2"/>
              <w:lang w:val="en-US" w:eastAsia="zh-CN" w:bidi="ar-SA"/>
            </w:rPr>
            <w:instrText xml:space="preserve"> HYPERLINK \l _Toc1829453597 </w:instrText>
          </w:r>
          <w:r>
            <w:rPr>
              <w:rFonts w:ascii="Arial" w:hAnsi="Arial" w:eastAsia="宋体" w:cs="Arial"/>
              <w:kern w:val="2"/>
              <w:lang w:val="en-US" w:eastAsia="zh-CN" w:bidi="ar-SA"/>
            </w:rPr>
            <w:fldChar w:fldCharType="separate"/>
          </w:r>
          <w:r>
            <w:rPr>
              <w:rFonts w:hint="eastAsia"/>
            </w:rPr>
            <w:t>1.15 切换实施细则</w:t>
          </w:r>
          <w:r>
            <w:tab/>
          </w:r>
          <w:r>
            <w:fldChar w:fldCharType="begin"/>
          </w:r>
          <w:r>
            <w:instrText xml:space="preserve"> PAGEREF _Toc1829453597 \h </w:instrText>
          </w:r>
          <w:r>
            <w:fldChar w:fldCharType="separate"/>
          </w:r>
          <w:r>
            <w:t>21</w:t>
          </w:r>
          <w:r>
            <w:fldChar w:fldCharType="end"/>
          </w:r>
          <w:r>
            <w:rPr>
              <w:rFonts w:ascii="Arial" w:hAnsi="Arial" w:eastAsia="宋体" w:cs="Arial"/>
              <w:kern w:val="2"/>
              <w:lang w:val="en-US" w:eastAsia="zh-CN" w:bidi="ar-SA"/>
            </w:rPr>
            <w:fldChar w:fldCharType="end"/>
          </w:r>
        </w:p>
        <w:p w14:paraId="087F1008">
          <w:pPr>
            <w:pStyle w:val="19"/>
            <w:tabs>
              <w:tab w:val="right" w:leader="dot" w:pos="9354"/>
            </w:tabs>
          </w:pPr>
          <w:r>
            <w:rPr>
              <w:rFonts w:ascii="Arial" w:hAnsi="Arial" w:eastAsia="宋体" w:cs="Arial"/>
              <w:kern w:val="2"/>
              <w:lang w:val="en-US" w:eastAsia="zh-CN" w:bidi="ar-SA"/>
            </w:rPr>
            <w:fldChar w:fldCharType="begin"/>
          </w:r>
          <w:r>
            <w:rPr>
              <w:rFonts w:ascii="Arial" w:hAnsi="Arial" w:eastAsia="宋体" w:cs="Arial"/>
              <w:kern w:val="2"/>
              <w:lang w:val="en-US" w:eastAsia="zh-CN" w:bidi="ar-SA"/>
            </w:rPr>
            <w:instrText xml:space="preserve"> HYPERLINK \l _Toc2103230680 </w:instrText>
          </w:r>
          <w:r>
            <w:rPr>
              <w:rFonts w:ascii="Arial" w:hAnsi="Arial" w:eastAsia="宋体" w:cs="Arial"/>
              <w:kern w:val="2"/>
              <w:lang w:val="en-US" w:eastAsia="zh-CN" w:bidi="ar-SA"/>
            </w:rPr>
            <w:fldChar w:fldCharType="separate"/>
          </w:r>
          <w:r>
            <w:rPr>
              <w:rFonts w:hint="eastAsia"/>
            </w:rPr>
            <w:t>1.16 申请结论</w:t>
          </w:r>
          <w:r>
            <w:tab/>
          </w:r>
          <w:r>
            <w:fldChar w:fldCharType="begin"/>
          </w:r>
          <w:r>
            <w:instrText xml:space="preserve"> PAGEREF _Toc2103230680 \h </w:instrText>
          </w:r>
          <w:r>
            <w:fldChar w:fldCharType="separate"/>
          </w:r>
          <w:r>
            <w:t>24</w:t>
          </w:r>
          <w:r>
            <w:fldChar w:fldCharType="end"/>
          </w:r>
          <w:r>
            <w:rPr>
              <w:rFonts w:ascii="Arial" w:hAnsi="Arial" w:eastAsia="宋体" w:cs="Arial"/>
              <w:kern w:val="2"/>
              <w:lang w:val="en-US" w:eastAsia="zh-CN" w:bidi="ar-SA"/>
            </w:rPr>
            <w:fldChar w:fldCharType="end"/>
          </w:r>
        </w:p>
        <w:p w14:paraId="770B6DDD">
          <w:pPr>
            <w:rPr>
              <w:rFonts w:ascii="Arial" w:hAnsi="Arial" w:eastAsia="宋体" w:cs="Arial"/>
              <w:kern w:val="2"/>
              <w:sz w:val="21"/>
              <w:lang w:val="en-US" w:eastAsia="zh-CN" w:bidi="ar-SA"/>
            </w:rPr>
          </w:pPr>
          <w:r>
            <w:rPr>
              <w:rFonts w:ascii="Arial" w:hAnsi="Arial" w:eastAsia="宋体" w:cs="Arial"/>
              <w:kern w:val="2"/>
              <w:lang w:val="en-US" w:eastAsia="zh-CN" w:bidi="ar-SA"/>
            </w:rPr>
            <w:fldChar w:fldCharType="end"/>
          </w:r>
        </w:p>
      </w:sdtContent>
    </w:sdt>
    <w:p w14:paraId="47A192FA">
      <w:pPr>
        <w:rPr>
          <w:rFonts w:ascii="Arial" w:hAnsi="Arial" w:eastAsia="宋体" w:cs="Arial"/>
          <w:kern w:val="2"/>
          <w:sz w:val="21"/>
          <w:lang w:val="en-US" w:eastAsia="zh-CN" w:bidi="ar-SA"/>
        </w:rPr>
      </w:pPr>
    </w:p>
    <w:p w14:paraId="21157E50">
      <w:pPr>
        <w:rPr>
          <w:rFonts w:ascii="Arial" w:hAnsi="Arial" w:eastAsia="宋体" w:cs="Arial"/>
          <w:kern w:val="2"/>
          <w:sz w:val="21"/>
          <w:lang w:val="en-US" w:eastAsia="zh-CN" w:bidi="ar-SA"/>
        </w:rPr>
      </w:pPr>
    </w:p>
    <w:bookmarkEnd w:id="6"/>
    <w:p w14:paraId="00F20239">
      <w:bookmarkStart w:id="7" w:name="_Toc341170628"/>
      <w:bookmarkStart w:id="8" w:name="编制目的"/>
      <w:r>
        <w:rPr>
          <w:rFonts w:hint="eastAsia"/>
        </w:rPr>
        <w:br w:type="page"/>
      </w:r>
    </w:p>
    <w:p w14:paraId="286D7A68">
      <w:pPr>
        <w:pStyle w:val="3"/>
      </w:pPr>
      <w:bookmarkStart w:id="80" w:name="_GoBack"/>
      <w:bookmarkEnd w:id="80"/>
      <w:r>
        <w:rPr>
          <w:rFonts w:hint="eastAsia"/>
        </w:rPr>
        <w:t>编制目的</w:t>
      </w:r>
      <w:bookmarkEnd w:id="7"/>
    </w:p>
    <w:p w14:paraId="2A857F46">
      <w:r>
        <w:rPr>
          <w:rFonts w:hint="eastAsia"/>
        </w:rPr>
        <w:t>本文档用于说明福建水务营收系统采用</w:t>
      </w:r>
      <w:r>
        <w:t xml:space="preserve"> PostgreSQL 16 </w:t>
      </w:r>
      <w:r>
        <w:rPr>
          <w:rFonts w:hint="eastAsia"/>
        </w:rPr>
        <w:t>建设数据库高可用与灾难恢复能力时，所需的资源规模、部署形态、主备配比及实施要求，作为甲方进行服务器、存储、网络及运行环境审批的依据。</w:t>
      </w:r>
    </w:p>
    <w:bookmarkEnd w:id="8"/>
    <w:p w14:paraId="6B70BB57">
      <w:pPr>
        <w:pStyle w:val="3"/>
      </w:pPr>
      <w:bookmarkStart w:id="9" w:name="_Toc273407306"/>
      <w:bookmarkStart w:id="10" w:name="适用范围与说明"/>
      <w:r>
        <w:rPr>
          <w:rFonts w:hint="eastAsia"/>
        </w:rPr>
        <w:t>适用范围与说明</w:t>
      </w:r>
      <w:bookmarkEnd w:id="9"/>
    </w:p>
    <w:p w14:paraId="29A175B3">
      <w:pPr>
        <w:numPr>
          <w:ilvl w:val="0"/>
          <w:numId w:val="2"/>
        </w:numPr>
      </w:pPr>
      <w:r>
        <w:rPr>
          <w:rFonts w:hint="eastAsia"/>
        </w:rPr>
        <w:t>本文档面向</w:t>
      </w:r>
      <w:r>
        <w:t xml:space="preserve"> PostgreSQL 16 </w:t>
      </w:r>
      <w:r>
        <w:rPr>
          <w:rFonts w:hint="eastAsia"/>
        </w:rPr>
        <w:t>数据库部署专题，重点说明容灾与资源申请口径。</w:t>
      </w:r>
    </w:p>
    <w:p w14:paraId="28FD0241">
      <w:pPr>
        <w:numPr>
          <w:ilvl w:val="0"/>
          <w:numId w:val="2"/>
        </w:numPr>
      </w:pPr>
      <w:r>
        <w:rPr>
          <w:rFonts w:hint="eastAsia"/>
        </w:rPr>
        <w:t>本文档用于资源论证与部署申请，不替代数据库主文档和总体部署主文档。</w:t>
      </w:r>
    </w:p>
    <w:p w14:paraId="467F5ADE">
      <w:pPr>
        <w:numPr>
          <w:ilvl w:val="0"/>
          <w:numId w:val="2"/>
        </w:numPr>
      </w:pPr>
      <w:r>
        <w:rPr>
          <w:rFonts w:hint="eastAsia"/>
        </w:rPr>
        <w:t>文中关于备库资源比例、网络带宽、存储冗余和部署组合的建议，属于结合</w:t>
      </w:r>
      <w:r>
        <w:t xml:space="preserve"> PostgreSQL 16 </w:t>
      </w:r>
      <w:r>
        <w:rPr>
          <w:rFonts w:hint="eastAsia"/>
        </w:rPr>
        <w:t>流复制、热备与时间点恢复机制形成的工程实施建议。</w:t>
      </w:r>
    </w:p>
    <w:bookmarkEnd w:id="10"/>
    <w:p w14:paraId="16AEC5FD">
      <w:pPr>
        <w:pStyle w:val="3"/>
      </w:pPr>
      <w:bookmarkStart w:id="11" w:name="_Toc1689071009"/>
      <w:bookmarkStart w:id="12" w:name="容灾建设目标"/>
      <w:r>
        <w:rPr>
          <w:rFonts w:hint="eastAsia"/>
        </w:rPr>
        <w:t>容灾建设目标</w:t>
      </w:r>
      <w:bookmarkEnd w:id="11"/>
    </w:p>
    <w:p w14:paraId="36995BE4">
      <w:r>
        <w:t xml:space="preserve">PostgreSQL 16 </w:t>
      </w:r>
      <w:r>
        <w:rPr>
          <w:rFonts w:hint="eastAsia"/>
        </w:rPr>
        <w:t>容灾建设目标如下：</w:t>
      </w:r>
    </w:p>
    <w:p w14:paraId="2FD4D988">
      <w:pPr>
        <w:numPr>
          <w:ilvl w:val="0"/>
          <w:numId w:val="3"/>
        </w:numPr>
      </w:pPr>
      <w:r>
        <w:rPr>
          <w:rFonts w:hint="eastAsia"/>
        </w:rPr>
        <w:t>在主库节点故障时，保障数据库能够快速切换并恢复服务。</w:t>
      </w:r>
    </w:p>
    <w:p w14:paraId="409C8E6E">
      <w:pPr>
        <w:numPr>
          <w:ilvl w:val="0"/>
          <w:numId w:val="3"/>
        </w:numPr>
      </w:pPr>
      <w:r>
        <w:rPr>
          <w:rFonts w:hint="eastAsia"/>
        </w:rPr>
        <w:t>在误操作、逻辑损坏、批量异常更新等场景下，保障系统具备时间点恢复能力。</w:t>
      </w:r>
    </w:p>
    <w:p w14:paraId="0E3B3456">
      <w:pPr>
        <w:numPr>
          <w:ilvl w:val="0"/>
          <w:numId w:val="3"/>
        </w:numPr>
      </w:pPr>
      <w:r>
        <w:rPr>
          <w:rFonts w:hint="eastAsia"/>
        </w:rPr>
        <w:t>在核心收费、账务、对账等业务场景中，尽量降低故障切换时的数据丢失风险。</w:t>
      </w:r>
    </w:p>
    <w:p w14:paraId="5C87E7EB">
      <w:pPr>
        <w:numPr>
          <w:ilvl w:val="0"/>
          <w:numId w:val="3"/>
        </w:numPr>
      </w:pPr>
      <w:r>
        <w:rPr>
          <w:rFonts w:hint="eastAsia"/>
        </w:rPr>
        <w:t>在资源投入可控的前提下，为甲方提供可分阶段实施的多种建设形态。</w:t>
      </w:r>
    </w:p>
    <w:bookmarkEnd w:id="12"/>
    <w:p w14:paraId="6BEA71BE">
      <w:pPr>
        <w:pStyle w:val="3"/>
      </w:pPr>
      <w:bookmarkStart w:id="13" w:name="_Toc630118570"/>
      <w:bookmarkStart w:id="14" w:name="容灾形态说明"/>
      <w:r>
        <w:rPr>
          <w:rFonts w:hint="eastAsia"/>
        </w:rPr>
        <w:t>容灾形态说明</w:t>
      </w:r>
      <w:bookmarkEnd w:id="13"/>
    </w:p>
    <w:p w14:paraId="791E15ED">
      <w:r>
        <w:rPr>
          <w:rFonts w:hint="eastAsia"/>
        </w:rPr>
        <w:t>结合</w:t>
      </w:r>
      <w:r>
        <w:t xml:space="preserve"> PostgreSQL 16 </w:t>
      </w:r>
      <w:r>
        <w:rPr>
          <w:rFonts w:hint="eastAsia"/>
        </w:rPr>
        <w:t>能力及甲方常见基础设施条件，建议按以下四种形态进行资源申请与部署评估。</w:t>
      </w:r>
    </w:p>
    <w:p w14:paraId="2ABBD12B">
      <w:pPr>
        <w:pStyle w:val="4"/>
      </w:pPr>
      <w:bookmarkStart w:id="15" w:name="形态一单中心主备容灾"/>
      <w:r>
        <w:rPr>
          <w:rFonts w:hint="eastAsia"/>
        </w:rPr>
        <w:t>形态一：单中心主备容灾</w:t>
      </w:r>
    </w:p>
    <w:p w14:paraId="28B0EBDF">
      <w:r>
        <w:rPr>
          <w:rFonts w:hint="eastAsia"/>
        </w:rPr>
        <w:t>适用于预算有限、优先满足基础高可用能力的场景。</w:t>
      </w:r>
    </w:p>
    <w:p w14:paraId="338DFE0C">
      <w:pPr>
        <w:pStyle w:val="13"/>
      </w:pPr>
      <w:r>
        <w:rPr>
          <w:rFonts w:hint="eastAsia"/>
        </w:rPr>
        <w:t>部署关系图：</w:t>
      </w:r>
    </w:p>
    <w:p w14:paraId="4D5E8682">
      <w:r>
        <w:drawing>
          <wp:inline distT="0" distB="0" distL="114300" distR="114300">
            <wp:extent cx="2463800" cy="5664200"/>
            <wp:effectExtent l="0" t="0" r="0" b="0"/>
            <wp:docPr id="26" name="Picture" descr="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descr="图1"/>
                    <pic:cNvPicPr>
                      <a:picLocks noChangeAspect="1" noChangeArrowheads="1"/>
                    </pic:cNvPicPr>
                  </pic:nvPicPr>
                  <pic:blipFill>
                    <a:blip r:embed="rId8"/>
                    <a:stretch>
                      <a:fillRect/>
                    </a:stretch>
                  </pic:blipFill>
                  <pic:spPr>
                    <a:xfrm>
                      <a:off x="0" y="0"/>
                      <a:ext cx="2463800" cy="5664200"/>
                    </a:xfrm>
                    <a:prstGeom prst="rect">
                      <a:avLst/>
                    </a:prstGeom>
                    <a:noFill/>
                    <a:ln w="9525">
                      <a:noFill/>
                    </a:ln>
                  </pic:spPr>
                </pic:pic>
              </a:graphicData>
            </a:graphic>
          </wp:inline>
        </w:drawing>
      </w:r>
    </w:p>
    <w:p w14:paraId="6F81045D">
      <w:r>
        <w:rPr>
          <w:rFonts w:hint="eastAsia"/>
        </w:rPr>
        <w:t>图1</w:t>
      </w:r>
    </w:p>
    <w:p w14:paraId="447DA6C5">
      <w:pPr>
        <w:numPr>
          <w:ilvl w:val="0"/>
          <w:numId w:val="4"/>
        </w:numPr>
      </w:pPr>
      <w:r>
        <w:rPr>
          <w:rFonts w:hint="eastAsia"/>
        </w:rPr>
        <w:t>主库与备库部署在同一机房或同一可用区。</w:t>
      </w:r>
    </w:p>
    <w:p w14:paraId="5064502F">
      <w:pPr>
        <w:numPr>
          <w:ilvl w:val="0"/>
          <w:numId w:val="4"/>
        </w:numPr>
      </w:pPr>
      <w:r>
        <w:rPr>
          <w:rFonts w:hint="eastAsia"/>
        </w:rPr>
        <w:t>备库可采用</w:t>
      </w:r>
      <w:r>
        <w:t xml:space="preserve"> Warm Standby </w:t>
      </w:r>
      <w:r>
        <w:rPr>
          <w:rFonts w:hint="eastAsia"/>
        </w:rPr>
        <w:t>或</w:t>
      </w:r>
      <w:r>
        <w:t xml:space="preserve"> Hot Standby。</w:t>
      </w:r>
    </w:p>
    <w:p w14:paraId="44520502">
      <w:pPr>
        <w:numPr>
          <w:ilvl w:val="0"/>
          <w:numId w:val="4"/>
        </w:numPr>
      </w:pPr>
      <w:r>
        <w:rPr>
          <w:rFonts w:hint="eastAsia"/>
        </w:rPr>
        <w:t>推荐采用异步复制；如网络稳定且事务一致性要求较高，也可采用同步复制。</w:t>
      </w:r>
    </w:p>
    <w:p w14:paraId="7A2D6530">
      <w:pPr>
        <w:numPr>
          <w:ilvl w:val="0"/>
          <w:numId w:val="4"/>
        </w:numPr>
      </w:pPr>
      <w:r>
        <w:rPr>
          <w:rFonts w:hint="eastAsia"/>
        </w:rPr>
        <w:t>该形态可解决单机故障问题，但不能覆盖机房级灾难。</w:t>
      </w:r>
    </w:p>
    <w:bookmarkEnd w:id="15"/>
    <w:p w14:paraId="258C6BE6">
      <w:pPr>
        <w:pStyle w:val="4"/>
      </w:pPr>
      <w:bookmarkStart w:id="16" w:name="形态二同城双可用区主备容灾"/>
      <w:r>
        <w:rPr>
          <w:rFonts w:hint="eastAsia"/>
        </w:rPr>
        <w:t>形态二：同城双可用区主备容灾</w:t>
      </w:r>
    </w:p>
    <w:p w14:paraId="3BD750E5">
      <w:r>
        <w:rPr>
          <w:rFonts w:hint="eastAsia"/>
        </w:rPr>
        <w:t>适用于生产系统正式上线场景，兼顾高可用与较高的数据安全要求。</w:t>
      </w:r>
    </w:p>
    <w:p w14:paraId="4021603D">
      <w:pPr>
        <w:pStyle w:val="13"/>
      </w:pPr>
      <w:r>
        <w:rPr>
          <w:rFonts w:hint="eastAsia"/>
        </w:rPr>
        <w:t>部署关系图：</w:t>
      </w:r>
    </w:p>
    <w:p w14:paraId="20477440">
      <w:r>
        <w:drawing>
          <wp:inline distT="0" distB="0" distL="114300" distR="114300">
            <wp:extent cx="5930900" cy="1665605"/>
            <wp:effectExtent l="0" t="0" r="0" b="0"/>
            <wp:docPr id="30" name="Picture" descr="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descr="图2"/>
                    <pic:cNvPicPr>
                      <a:picLocks noChangeAspect="1" noChangeArrowheads="1"/>
                    </pic:cNvPicPr>
                  </pic:nvPicPr>
                  <pic:blipFill>
                    <a:blip r:embed="rId9"/>
                    <a:stretch>
                      <a:fillRect/>
                    </a:stretch>
                  </pic:blipFill>
                  <pic:spPr>
                    <a:xfrm>
                      <a:off x="0" y="0"/>
                      <a:ext cx="5930900" cy="1665905"/>
                    </a:xfrm>
                    <a:prstGeom prst="rect">
                      <a:avLst/>
                    </a:prstGeom>
                    <a:noFill/>
                    <a:ln w="9525">
                      <a:noFill/>
                    </a:ln>
                  </pic:spPr>
                </pic:pic>
              </a:graphicData>
            </a:graphic>
          </wp:inline>
        </w:drawing>
      </w:r>
    </w:p>
    <w:p w14:paraId="043476BD">
      <w:r>
        <w:rPr>
          <w:rFonts w:hint="eastAsia"/>
        </w:rPr>
        <w:t>图2</w:t>
      </w:r>
    </w:p>
    <w:p w14:paraId="4E9CB1A4">
      <w:pPr>
        <w:pStyle w:val="13"/>
      </w:pPr>
      <w:r>
        <w:rPr>
          <w:rFonts w:hint="eastAsia"/>
        </w:rPr>
        <w:t>说明：</w:t>
      </w:r>
    </w:p>
    <w:p w14:paraId="40103225">
      <w:pPr>
        <w:numPr>
          <w:ilvl w:val="0"/>
          <w:numId w:val="5"/>
        </w:numPr>
      </w:pPr>
      <w:r>
        <w:rPr>
          <w:rFonts w:hint="eastAsia"/>
        </w:rPr>
        <w:t>主库与备库部署在同城不同机房或不同可用区。</w:t>
      </w:r>
    </w:p>
    <w:p w14:paraId="57C0FAA5">
      <w:pPr>
        <w:numPr>
          <w:ilvl w:val="0"/>
          <w:numId w:val="5"/>
        </w:numPr>
      </w:pPr>
      <w:r>
        <w:rPr>
          <w:rFonts w:hint="eastAsia"/>
        </w:rPr>
        <w:t>推荐备库采用</w:t>
      </w:r>
      <w:r>
        <w:t xml:space="preserve"> Hot Standby</w:t>
      </w:r>
      <w:r>
        <w:rPr>
          <w:rFonts w:hint="eastAsia"/>
        </w:rPr>
        <w:t>，可承担只读查询与切换接管职责。</w:t>
      </w:r>
    </w:p>
    <w:p w14:paraId="4E39D5DC">
      <w:pPr>
        <w:numPr>
          <w:ilvl w:val="0"/>
          <w:numId w:val="5"/>
        </w:numPr>
      </w:pPr>
      <w:r>
        <w:rPr>
          <w:rFonts w:hint="eastAsia"/>
        </w:rPr>
        <w:t>对收费、账务、实收确认等核心业务，宜优先评估同步复制。</w:t>
      </w:r>
    </w:p>
    <w:p w14:paraId="76E44F5E">
      <w:pPr>
        <w:numPr>
          <w:ilvl w:val="0"/>
          <w:numId w:val="5"/>
        </w:numPr>
      </w:pPr>
      <w:r>
        <w:rPr>
          <w:rFonts w:hint="eastAsia"/>
        </w:rPr>
        <w:t>该形态可覆盖单节点故障和单可用区故障，是生产环境优先推荐的基础方案。</w:t>
      </w:r>
    </w:p>
    <w:bookmarkEnd w:id="16"/>
    <w:p w14:paraId="53864E9E">
      <w:pPr>
        <w:pStyle w:val="4"/>
      </w:pPr>
      <w:bookmarkStart w:id="17" w:name="形态三同城双中心-异地灾备"/>
      <w:r>
        <w:rPr>
          <w:rFonts w:hint="eastAsia"/>
        </w:rPr>
        <w:t>形态三：同城双中心</w:t>
      </w:r>
      <w:r>
        <w:t xml:space="preserve"> + </w:t>
      </w:r>
      <w:r>
        <w:rPr>
          <w:rFonts w:hint="eastAsia"/>
        </w:rPr>
        <w:t>异地灾备</w:t>
      </w:r>
    </w:p>
    <w:p w14:paraId="393770F5">
      <w:r>
        <w:rPr>
          <w:rFonts w:hint="eastAsia"/>
        </w:rPr>
        <w:t>适用于对连续运行能力要求较高，且需要同时覆盖机房级与区域级风险的场景。</w:t>
      </w:r>
    </w:p>
    <w:p w14:paraId="5E0B60DE">
      <w:pPr>
        <w:pStyle w:val="13"/>
      </w:pPr>
      <w:r>
        <w:rPr>
          <w:rFonts w:hint="eastAsia"/>
        </w:rPr>
        <w:t>部署关系图：</w:t>
      </w:r>
    </w:p>
    <w:p w14:paraId="4C2E44CA">
      <w:r>
        <w:drawing>
          <wp:inline distT="0" distB="0" distL="114300" distR="114300">
            <wp:extent cx="5930900" cy="3390265"/>
            <wp:effectExtent l="0" t="0" r="0" b="0"/>
            <wp:docPr id="34" name="Picture" descr="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descr="图3"/>
                    <pic:cNvPicPr>
                      <a:picLocks noChangeAspect="1" noChangeArrowheads="1"/>
                    </pic:cNvPicPr>
                  </pic:nvPicPr>
                  <pic:blipFill>
                    <a:blip r:embed="rId10"/>
                    <a:stretch>
                      <a:fillRect/>
                    </a:stretch>
                  </pic:blipFill>
                  <pic:spPr>
                    <a:xfrm>
                      <a:off x="0" y="0"/>
                      <a:ext cx="5930900" cy="3390324"/>
                    </a:xfrm>
                    <a:prstGeom prst="rect">
                      <a:avLst/>
                    </a:prstGeom>
                    <a:noFill/>
                    <a:ln w="9525">
                      <a:noFill/>
                    </a:ln>
                  </pic:spPr>
                </pic:pic>
              </a:graphicData>
            </a:graphic>
          </wp:inline>
        </w:drawing>
      </w:r>
    </w:p>
    <w:p w14:paraId="77362041">
      <w:r>
        <w:rPr>
          <w:rFonts w:hint="eastAsia"/>
        </w:rPr>
        <w:t>图3</w:t>
      </w:r>
    </w:p>
    <w:p w14:paraId="79EE8B5E">
      <w:pPr>
        <w:pStyle w:val="13"/>
      </w:pPr>
      <w:r>
        <w:rPr>
          <w:rFonts w:hint="eastAsia"/>
        </w:rPr>
        <w:t>说明：</w:t>
      </w:r>
    </w:p>
    <w:p w14:paraId="4038B3E4">
      <w:pPr>
        <w:numPr>
          <w:ilvl w:val="0"/>
          <w:numId w:val="6"/>
        </w:numPr>
      </w:pPr>
      <w:r>
        <w:rPr>
          <w:rFonts w:hint="eastAsia"/>
        </w:rPr>
        <w:t>同城备库承担高可用切换职责。</w:t>
      </w:r>
    </w:p>
    <w:p w14:paraId="5B9965A3">
      <w:pPr>
        <w:numPr>
          <w:ilvl w:val="0"/>
          <w:numId w:val="6"/>
        </w:numPr>
      </w:pPr>
      <w:r>
        <w:rPr>
          <w:rFonts w:hint="eastAsia"/>
        </w:rPr>
        <w:t>异地灾备库承担区域级灾难恢复职责。</w:t>
      </w:r>
    </w:p>
    <w:p w14:paraId="5092058D">
      <w:pPr>
        <w:numPr>
          <w:ilvl w:val="0"/>
          <w:numId w:val="6"/>
        </w:numPr>
      </w:pPr>
      <w:r>
        <w:rPr>
          <w:rFonts w:hint="eastAsia"/>
        </w:rPr>
        <w:t>异地灾备一般采用异步复制，避免远距离链路对主业务写入性能造成明显影响。</w:t>
      </w:r>
    </w:p>
    <w:p w14:paraId="623ACFD1">
      <w:pPr>
        <w:numPr>
          <w:ilvl w:val="0"/>
          <w:numId w:val="6"/>
        </w:numPr>
      </w:pPr>
      <w:r>
        <w:rPr>
          <w:rFonts w:hint="eastAsia"/>
        </w:rPr>
        <w:t>该形态可满足高可用与灾备双重要求，适合作为甲方正式建设目标方案。</w:t>
      </w:r>
    </w:p>
    <w:bookmarkEnd w:id="17"/>
    <w:p w14:paraId="67ED81C5">
      <w:pPr>
        <w:pStyle w:val="4"/>
      </w:pPr>
      <w:bookmarkStart w:id="18" w:name="形态四主备高可用-备份恢复型灾备"/>
      <w:r>
        <w:rPr>
          <w:rFonts w:hint="eastAsia"/>
        </w:rPr>
        <w:t>形态四：主备高可用</w:t>
      </w:r>
      <w:r>
        <w:t xml:space="preserve"> + </w:t>
      </w:r>
      <w:r>
        <w:rPr>
          <w:rFonts w:hint="eastAsia"/>
        </w:rPr>
        <w:t>备份恢复型灾备</w:t>
      </w:r>
    </w:p>
    <w:p w14:paraId="6D21F3E9">
      <w:r>
        <w:rPr>
          <w:rFonts w:hint="eastAsia"/>
        </w:rPr>
        <w:t>适用于暂不具备异地第三节点条件，但需要形成完整灾难恢复能力的场景。</w:t>
      </w:r>
    </w:p>
    <w:p w14:paraId="72E75668">
      <w:pPr>
        <w:pStyle w:val="13"/>
      </w:pPr>
      <w:r>
        <w:rPr>
          <w:rFonts w:hint="eastAsia"/>
        </w:rPr>
        <w:t>部署关系图：</w:t>
      </w:r>
    </w:p>
    <w:p w14:paraId="22B4096D">
      <w:r>
        <w:drawing>
          <wp:inline distT="0" distB="0" distL="114300" distR="114300">
            <wp:extent cx="3908425" cy="5397500"/>
            <wp:effectExtent l="0" t="0" r="3175" b="12700"/>
            <wp:docPr id="38" name="Picture" descr="图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descr="图4"/>
                    <pic:cNvPicPr>
                      <a:picLocks noChangeAspect="1" noChangeArrowheads="1"/>
                    </pic:cNvPicPr>
                  </pic:nvPicPr>
                  <pic:blipFill>
                    <a:blip r:embed="rId11"/>
                    <a:stretch>
                      <a:fillRect/>
                    </a:stretch>
                  </pic:blipFill>
                  <pic:spPr>
                    <a:xfrm>
                      <a:off x="0" y="0"/>
                      <a:ext cx="3908425" cy="5397500"/>
                    </a:xfrm>
                    <a:prstGeom prst="rect">
                      <a:avLst/>
                    </a:prstGeom>
                    <a:noFill/>
                    <a:ln w="9525">
                      <a:noFill/>
                    </a:ln>
                  </pic:spPr>
                </pic:pic>
              </a:graphicData>
            </a:graphic>
          </wp:inline>
        </w:drawing>
      </w:r>
    </w:p>
    <w:p w14:paraId="51989608">
      <w:r>
        <w:rPr>
          <w:rFonts w:hint="eastAsia"/>
        </w:rPr>
        <w:t>图4</w:t>
      </w:r>
    </w:p>
    <w:p w14:paraId="6BD12482">
      <w:pPr>
        <w:pStyle w:val="13"/>
      </w:pPr>
      <w:r>
        <w:rPr>
          <w:rFonts w:hint="eastAsia"/>
        </w:rPr>
        <w:t>说明：</w:t>
      </w:r>
    </w:p>
    <w:p w14:paraId="547DC704">
      <w:pPr>
        <w:numPr>
          <w:ilvl w:val="0"/>
          <w:numId w:val="7"/>
        </w:numPr>
      </w:pPr>
      <w:r>
        <w:rPr>
          <w:rFonts w:hint="eastAsia"/>
        </w:rPr>
        <w:t>在线层保持主备双节点高可用。</w:t>
      </w:r>
    </w:p>
    <w:p w14:paraId="7382C6DD">
      <w:pPr>
        <w:numPr>
          <w:ilvl w:val="0"/>
          <w:numId w:val="7"/>
        </w:numPr>
      </w:pPr>
      <w:r>
        <w:rPr>
          <w:rFonts w:hint="eastAsia"/>
        </w:rPr>
        <w:t>异地侧不部署实时在线数据库实例，主要承载基础备份和</w:t>
      </w:r>
      <w:r>
        <w:t xml:space="preserve"> WAL </w:t>
      </w:r>
      <w:r>
        <w:rPr>
          <w:rFonts w:hint="eastAsia"/>
        </w:rPr>
        <w:t>归档。</w:t>
      </w:r>
    </w:p>
    <w:p w14:paraId="41AF6DC4">
      <w:pPr>
        <w:numPr>
          <w:ilvl w:val="0"/>
          <w:numId w:val="7"/>
        </w:numPr>
      </w:pPr>
      <w:r>
        <w:rPr>
          <w:rFonts w:hint="eastAsia"/>
        </w:rPr>
        <w:t>该形态投入低于三节点实时灾备，但恢复时间长于在线异地灾备库方案。</w:t>
      </w:r>
    </w:p>
    <w:p w14:paraId="4249886D">
      <w:pPr>
        <w:numPr>
          <w:ilvl w:val="0"/>
          <w:numId w:val="7"/>
        </w:numPr>
      </w:pPr>
      <w:r>
        <w:rPr>
          <w:rFonts w:hint="eastAsia"/>
        </w:rPr>
        <w:t>适用于二期或预算受限情况下的过渡方案。</w:t>
      </w:r>
    </w:p>
    <w:bookmarkEnd w:id="14"/>
    <w:bookmarkEnd w:id="18"/>
    <w:p w14:paraId="106FBCC6">
      <w:pPr>
        <w:pStyle w:val="3"/>
      </w:pPr>
      <w:bookmarkStart w:id="19" w:name="_Toc1160942633"/>
      <w:bookmarkStart w:id="20" w:name="资源配比原则"/>
      <w:r>
        <w:rPr>
          <w:rFonts w:hint="eastAsia"/>
        </w:rPr>
        <w:t>资源配比原则</w:t>
      </w:r>
      <w:bookmarkEnd w:id="19"/>
    </w:p>
    <w:p w14:paraId="4D247D8C">
      <w:pPr>
        <w:pStyle w:val="4"/>
      </w:pPr>
      <w:bookmarkStart w:id="21" w:name="主备资源总体原则"/>
      <w:r>
        <w:rPr>
          <w:rFonts w:hint="eastAsia"/>
        </w:rPr>
        <w:t>主备资源总体原则</w:t>
      </w:r>
    </w:p>
    <w:p w14:paraId="785B754E">
      <w:pPr>
        <w:numPr>
          <w:ilvl w:val="0"/>
          <w:numId w:val="8"/>
        </w:numPr>
      </w:pPr>
      <w:r>
        <w:rPr>
          <w:rFonts w:hint="eastAsia"/>
        </w:rPr>
        <w:t>主库负责生产写入，CPU、内存、I/O、网络压力最大。</w:t>
      </w:r>
    </w:p>
    <w:p w14:paraId="4BAAAEE1">
      <w:pPr>
        <w:numPr>
          <w:ilvl w:val="0"/>
          <w:numId w:val="8"/>
        </w:numPr>
      </w:pPr>
      <w:r>
        <w:rPr>
          <w:rFonts w:hint="eastAsia"/>
        </w:rPr>
        <w:t>备库必须保存完整数据副本，因此备库存储容量原则上不得低于主库。</w:t>
      </w:r>
    </w:p>
    <w:p w14:paraId="2C274598">
      <w:pPr>
        <w:numPr>
          <w:ilvl w:val="0"/>
          <w:numId w:val="8"/>
        </w:numPr>
      </w:pPr>
      <w:r>
        <w:rPr>
          <w:rFonts w:hint="eastAsia"/>
        </w:rPr>
        <w:t>如备库承担实时切换接管职责，其</w:t>
      </w:r>
      <w:r>
        <w:t xml:space="preserve"> CPU </w:t>
      </w:r>
      <w:r>
        <w:rPr>
          <w:rFonts w:hint="eastAsia"/>
        </w:rPr>
        <w:t>与内存不宜明显低于主库。</w:t>
      </w:r>
    </w:p>
    <w:p w14:paraId="58F2BF9A">
      <w:pPr>
        <w:numPr>
          <w:ilvl w:val="0"/>
          <w:numId w:val="8"/>
        </w:numPr>
      </w:pPr>
      <w:r>
        <w:rPr>
          <w:rFonts w:hint="eastAsia"/>
        </w:rPr>
        <w:t>如备库仅承担异步灾备且不承载查询压力，可适当降低</w:t>
      </w:r>
      <w:r>
        <w:t xml:space="preserve"> CPU </w:t>
      </w:r>
      <w:r>
        <w:rPr>
          <w:rFonts w:hint="eastAsia"/>
        </w:rPr>
        <w:t>与内存，但不应压缩存储容量和网络链路质量。</w:t>
      </w:r>
    </w:p>
    <w:bookmarkEnd w:id="21"/>
    <w:p w14:paraId="4FD1872F">
      <w:pPr>
        <w:pStyle w:val="4"/>
      </w:pPr>
      <w:bookmarkStart w:id="22" w:name="主备资源比例建议"/>
      <w:r>
        <w:rPr>
          <w:rFonts w:hint="eastAsia"/>
        </w:rPr>
        <w:t>主备资源比例建议</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7"/>
        <w:gridCol w:w="1367"/>
        <w:gridCol w:w="1367"/>
        <w:gridCol w:w="1367"/>
        <w:gridCol w:w="1367"/>
        <w:gridCol w:w="1367"/>
        <w:gridCol w:w="1367"/>
      </w:tblGrid>
      <w:tr w14:paraId="0CE8818D">
        <w:trPr>
          <w:tblHeader/>
        </w:trPr>
        <w:tc>
          <w:p w14:paraId="5469240A">
            <w:r>
              <w:rPr>
                <w:rFonts w:hint="eastAsia"/>
              </w:rPr>
              <w:t>备库角色</w:t>
            </w:r>
          </w:p>
        </w:tc>
        <w:tc>
          <w:p w14:paraId="5CEF641E">
            <w:r>
              <w:rPr>
                <w:rFonts w:hint="eastAsia"/>
              </w:rPr>
              <w:t>复制方式</w:t>
            </w:r>
          </w:p>
        </w:tc>
        <w:tc>
          <w:p w14:paraId="1B630C65">
            <w:r>
              <w:rPr>
                <w:rFonts w:hint="eastAsia"/>
              </w:rPr>
              <w:t>是否承担读请求</w:t>
            </w:r>
          </w:p>
        </w:tc>
        <w:tc>
          <w:p w14:paraId="761ED915">
            <w:r>
              <w:t xml:space="preserve">CPU </w:t>
            </w:r>
            <w:r>
              <w:rPr>
                <w:rFonts w:hint="eastAsia"/>
              </w:rPr>
              <w:t>建议</w:t>
            </w:r>
          </w:p>
        </w:tc>
        <w:tc>
          <w:p w14:paraId="164767F6">
            <w:r>
              <w:rPr>
                <w:rFonts w:hint="eastAsia"/>
              </w:rPr>
              <w:t>内存建议</w:t>
            </w:r>
          </w:p>
        </w:tc>
        <w:tc>
          <w:p w14:paraId="315CEFEC">
            <w:r>
              <w:rPr>
                <w:rFonts w:hint="eastAsia"/>
              </w:rPr>
              <w:t>存储建议</w:t>
            </w:r>
          </w:p>
        </w:tc>
        <w:tc>
          <w:p w14:paraId="7441387A">
            <w:r>
              <w:rPr>
                <w:rFonts w:hint="eastAsia"/>
              </w:rPr>
              <w:t>适用说明</w:t>
            </w:r>
          </w:p>
        </w:tc>
      </w:tr>
      <w:tr w14:paraId="156AE05D">
        <w:tc>
          <w:p w14:paraId="387429BA">
            <w:r>
              <w:rPr>
                <w:rFonts w:hint="eastAsia"/>
              </w:rPr>
              <w:t>同步热备库</w:t>
            </w:r>
          </w:p>
        </w:tc>
        <w:tc>
          <w:p w14:paraId="56AA4717">
            <w:r>
              <w:rPr>
                <w:rFonts w:hint="eastAsia"/>
              </w:rPr>
              <w:t>同步复制</w:t>
            </w:r>
          </w:p>
        </w:tc>
        <w:tc>
          <w:p w14:paraId="79CFE32A">
            <w:r>
              <w:rPr>
                <w:rFonts w:hint="eastAsia"/>
              </w:rPr>
              <w:t>是</w:t>
            </w:r>
          </w:p>
        </w:tc>
        <w:tc>
          <w:p w14:paraId="1D795467">
            <w:r>
              <w:rPr>
                <w:rFonts w:hint="eastAsia"/>
              </w:rPr>
              <w:t>不低于主库</w:t>
            </w:r>
            <w:r>
              <w:t xml:space="preserve"> 100%</w:t>
            </w:r>
          </w:p>
        </w:tc>
        <w:tc>
          <w:p w14:paraId="2387652E">
            <w:r>
              <w:rPr>
                <w:rFonts w:hint="eastAsia"/>
              </w:rPr>
              <w:t>不低于主库</w:t>
            </w:r>
            <w:r>
              <w:t xml:space="preserve"> 100%</w:t>
            </w:r>
          </w:p>
        </w:tc>
        <w:tc>
          <w:p w14:paraId="33101F0F">
            <w:r>
              <w:rPr>
                <w:rFonts w:hint="eastAsia"/>
              </w:rPr>
              <w:t>不低于主库</w:t>
            </w:r>
            <w:r>
              <w:t xml:space="preserve"> </w:t>
            </w:r>
            <w:r>
              <w:rPr>
                <w:rFonts w:hint="eastAsia"/>
              </w:rPr>
              <w:t>100%，建议</w:t>
            </w:r>
            <w:r>
              <w:t xml:space="preserve"> 120%</w:t>
            </w:r>
          </w:p>
        </w:tc>
        <w:tc>
          <w:p w14:paraId="015DE40D">
            <w:r>
              <w:rPr>
                <w:rFonts w:hint="eastAsia"/>
              </w:rPr>
              <w:t>生产正式切换节点，要求切换后立即承载全部业务</w:t>
            </w:r>
          </w:p>
        </w:tc>
      </w:tr>
      <w:tr w14:paraId="220A9FA0">
        <w:tc>
          <w:p w14:paraId="1B143DC6">
            <w:r>
              <w:rPr>
                <w:rFonts w:hint="eastAsia"/>
              </w:rPr>
              <w:t>同步温备库</w:t>
            </w:r>
          </w:p>
        </w:tc>
        <w:tc>
          <w:p w14:paraId="2AA908D0">
            <w:r>
              <w:rPr>
                <w:rFonts w:hint="eastAsia"/>
              </w:rPr>
              <w:t>同步复制</w:t>
            </w:r>
          </w:p>
        </w:tc>
        <w:tc>
          <w:p w14:paraId="2B3D859E">
            <w:r>
              <w:rPr>
                <w:rFonts w:hint="eastAsia"/>
              </w:rPr>
              <w:t>否</w:t>
            </w:r>
          </w:p>
        </w:tc>
        <w:tc>
          <w:p w14:paraId="489C1CCF">
            <w:r>
              <w:rPr>
                <w:rFonts w:hint="eastAsia"/>
              </w:rPr>
              <w:t>主库的</w:t>
            </w:r>
            <w:r>
              <w:t xml:space="preserve"> 70% </w:t>
            </w:r>
            <w:r>
              <w:rPr>
                <w:rFonts w:hint="eastAsia"/>
              </w:rPr>
              <w:t>至</w:t>
            </w:r>
            <w:r>
              <w:t xml:space="preserve"> 100%</w:t>
            </w:r>
          </w:p>
        </w:tc>
        <w:tc>
          <w:p w14:paraId="7749254A">
            <w:r>
              <w:rPr>
                <w:rFonts w:hint="eastAsia"/>
              </w:rPr>
              <w:t>主库的</w:t>
            </w:r>
            <w:r>
              <w:t xml:space="preserve"> 70% </w:t>
            </w:r>
            <w:r>
              <w:rPr>
                <w:rFonts w:hint="eastAsia"/>
              </w:rPr>
              <w:t>至</w:t>
            </w:r>
            <w:r>
              <w:t xml:space="preserve"> 100%</w:t>
            </w:r>
          </w:p>
        </w:tc>
        <w:tc>
          <w:p w14:paraId="027F7332">
            <w:r>
              <w:rPr>
                <w:rFonts w:hint="eastAsia"/>
              </w:rPr>
              <w:t>不低于主库</w:t>
            </w:r>
            <w:r>
              <w:t xml:space="preserve"> </w:t>
            </w:r>
            <w:r>
              <w:rPr>
                <w:rFonts w:hint="eastAsia"/>
              </w:rPr>
              <w:t>100%，建议</w:t>
            </w:r>
            <w:r>
              <w:t xml:space="preserve"> 120%</w:t>
            </w:r>
          </w:p>
        </w:tc>
        <w:tc>
          <w:p w14:paraId="43A418F8">
            <w:r>
              <w:rPr>
                <w:rFonts w:hint="eastAsia"/>
              </w:rPr>
              <w:t>不承载查询，但需要较快接管生产流量</w:t>
            </w:r>
          </w:p>
        </w:tc>
      </w:tr>
      <w:tr w14:paraId="69908B50">
        <w:tc>
          <w:p w14:paraId="514561DD">
            <w:r>
              <w:rPr>
                <w:rFonts w:hint="eastAsia"/>
              </w:rPr>
              <w:t>异步热备库</w:t>
            </w:r>
          </w:p>
        </w:tc>
        <w:tc>
          <w:p w14:paraId="68FFCC32">
            <w:r>
              <w:rPr>
                <w:rFonts w:hint="eastAsia"/>
              </w:rPr>
              <w:t>异步复制</w:t>
            </w:r>
          </w:p>
        </w:tc>
        <w:tc>
          <w:p w14:paraId="10E2553E">
            <w:r>
              <w:rPr>
                <w:rFonts w:hint="eastAsia"/>
              </w:rPr>
              <w:t>是</w:t>
            </w:r>
          </w:p>
        </w:tc>
        <w:tc>
          <w:p w14:paraId="7E31F790">
            <w:r>
              <w:rPr>
                <w:rFonts w:hint="eastAsia"/>
              </w:rPr>
              <w:t>主库的</w:t>
            </w:r>
            <w:r>
              <w:t xml:space="preserve"> 70% </w:t>
            </w:r>
            <w:r>
              <w:rPr>
                <w:rFonts w:hint="eastAsia"/>
              </w:rPr>
              <w:t>至</w:t>
            </w:r>
            <w:r>
              <w:t xml:space="preserve"> 100%</w:t>
            </w:r>
          </w:p>
        </w:tc>
        <w:tc>
          <w:p w14:paraId="26AA3C06">
            <w:r>
              <w:rPr>
                <w:rFonts w:hint="eastAsia"/>
              </w:rPr>
              <w:t>主库的</w:t>
            </w:r>
            <w:r>
              <w:t xml:space="preserve"> 70% </w:t>
            </w:r>
            <w:r>
              <w:rPr>
                <w:rFonts w:hint="eastAsia"/>
              </w:rPr>
              <w:t>至</w:t>
            </w:r>
            <w:r>
              <w:t xml:space="preserve"> 100%</w:t>
            </w:r>
          </w:p>
        </w:tc>
        <w:tc>
          <w:p w14:paraId="6DAEA4C9">
            <w:r>
              <w:rPr>
                <w:rFonts w:hint="eastAsia"/>
              </w:rPr>
              <w:t>不低于主库</w:t>
            </w:r>
            <w:r>
              <w:t xml:space="preserve"> </w:t>
            </w:r>
            <w:r>
              <w:rPr>
                <w:rFonts w:hint="eastAsia"/>
              </w:rPr>
              <w:t>100%，建议</w:t>
            </w:r>
            <w:r>
              <w:t xml:space="preserve"> 120%</w:t>
            </w:r>
          </w:p>
        </w:tc>
        <w:tc>
          <w:p w14:paraId="4B63B3CA">
            <w:r>
              <w:rPr>
                <w:rFonts w:hint="eastAsia"/>
              </w:rPr>
              <w:t>可承担报表查询或只读分析</w:t>
            </w:r>
          </w:p>
        </w:tc>
      </w:tr>
      <w:tr w14:paraId="6DA48B39">
        <w:tc>
          <w:p w14:paraId="19FF67C0">
            <w:r>
              <w:rPr>
                <w:rFonts w:hint="eastAsia"/>
              </w:rPr>
              <w:t>异步温备库</w:t>
            </w:r>
          </w:p>
        </w:tc>
        <w:tc>
          <w:p w14:paraId="084C38EC">
            <w:r>
              <w:rPr>
                <w:rFonts w:hint="eastAsia"/>
              </w:rPr>
              <w:t>异步复制</w:t>
            </w:r>
          </w:p>
        </w:tc>
        <w:tc>
          <w:p w14:paraId="3F39732A">
            <w:r>
              <w:rPr>
                <w:rFonts w:hint="eastAsia"/>
              </w:rPr>
              <w:t>否</w:t>
            </w:r>
          </w:p>
        </w:tc>
        <w:tc>
          <w:p w14:paraId="74498DA1">
            <w:r>
              <w:rPr>
                <w:rFonts w:hint="eastAsia"/>
              </w:rPr>
              <w:t>主库的</w:t>
            </w:r>
            <w:r>
              <w:t xml:space="preserve"> 50% </w:t>
            </w:r>
            <w:r>
              <w:rPr>
                <w:rFonts w:hint="eastAsia"/>
              </w:rPr>
              <w:t>至</w:t>
            </w:r>
            <w:r>
              <w:t xml:space="preserve"> 70%</w:t>
            </w:r>
          </w:p>
        </w:tc>
        <w:tc>
          <w:p w14:paraId="12D9924E">
            <w:r>
              <w:rPr>
                <w:rFonts w:hint="eastAsia"/>
              </w:rPr>
              <w:t>主库的</w:t>
            </w:r>
            <w:r>
              <w:t xml:space="preserve"> 50% </w:t>
            </w:r>
            <w:r>
              <w:rPr>
                <w:rFonts w:hint="eastAsia"/>
              </w:rPr>
              <w:t>至</w:t>
            </w:r>
            <w:r>
              <w:t xml:space="preserve"> 70%</w:t>
            </w:r>
          </w:p>
        </w:tc>
        <w:tc>
          <w:p w14:paraId="6E9F364A">
            <w:r>
              <w:rPr>
                <w:rFonts w:hint="eastAsia"/>
              </w:rPr>
              <w:t>不低于主库</w:t>
            </w:r>
            <w:r>
              <w:t xml:space="preserve"> </w:t>
            </w:r>
            <w:r>
              <w:rPr>
                <w:rFonts w:hint="eastAsia"/>
              </w:rPr>
              <w:t>100%，建议</w:t>
            </w:r>
            <w:r>
              <w:t xml:space="preserve"> 120%</w:t>
            </w:r>
          </w:p>
        </w:tc>
        <w:tc>
          <w:p w14:paraId="37D631BE">
            <w:r>
              <w:rPr>
                <w:rFonts w:hint="eastAsia"/>
              </w:rPr>
              <w:t>仅承担容灾接管，不参与日常查询</w:t>
            </w:r>
          </w:p>
        </w:tc>
      </w:tr>
      <w:tr w14:paraId="35CC6095">
        <w:tc>
          <w:p w14:paraId="591E2EA7">
            <w:r>
              <w:rPr>
                <w:rFonts w:hint="eastAsia"/>
              </w:rPr>
              <w:t>异地灾备库</w:t>
            </w:r>
          </w:p>
        </w:tc>
        <w:tc>
          <w:p w14:paraId="61804404">
            <w:r>
              <w:rPr>
                <w:rFonts w:hint="eastAsia"/>
              </w:rPr>
              <w:t>异步复制</w:t>
            </w:r>
          </w:p>
        </w:tc>
        <w:tc>
          <w:p w14:paraId="6631EA93">
            <w:r>
              <w:rPr>
                <w:rFonts w:hint="eastAsia"/>
              </w:rPr>
              <w:t>否</w:t>
            </w:r>
          </w:p>
        </w:tc>
        <w:tc>
          <w:p w14:paraId="046883C3">
            <w:r>
              <w:rPr>
                <w:rFonts w:hint="eastAsia"/>
              </w:rPr>
              <w:t>主库的</w:t>
            </w:r>
            <w:r>
              <w:t xml:space="preserve"> 50% </w:t>
            </w:r>
            <w:r>
              <w:rPr>
                <w:rFonts w:hint="eastAsia"/>
              </w:rPr>
              <w:t>左右</w:t>
            </w:r>
          </w:p>
        </w:tc>
        <w:tc>
          <w:p w14:paraId="59350228">
            <w:r>
              <w:rPr>
                <w:rFonts w:hint="eastAsia"/>
              </w:rPr>
              <w:t>主库的</w:t>
            </w:r>
            <w:r>
              <w:t xml:space="preserve"> 50% </w:t>
            </w:r>
            <w:r>
              <w:rPr>
                <w:rFonts w:hint="eastAsia"/>
              </w:rPr>
              <w:t>至</w:t>
            </w:r>
            <w:r>
              <w:t xml:space="preserve"> 70%</w:t>
            </w:r>
          </w:p>
        </w:tc>
        <w:tc>
          <w:p w14:paraId="6DEFD5CA">
            <w:r>
              <w:rPr>
                <w:rFonts w:hint="eastAsia"/>
              </w:rPr>
              <w:t>不低于主库</w:t>
            </w:r>
            <w:r>
              <w:t xml:space="preserve"> </w:t>
            </w:r>
            <w:r>
              <w:rPr>
                <w:rFonts w:hint="eastAsia"/>
              </w:rPr>
              <w:t>100%，建议</w:t>
            </w:r>
            <w:r>
              <w:t xml:space="preserve"> 120%</w:t>
            </w:r>
          </w:p>
        </w:tc>
        <w:tc>
          <w:p w14:paraId="0CFA8DC9">
            <w:r>
              <w:rPr>
                <w:rFonts w:hint="eastAsia"/>
              </w:rPr>
              <w:t>主要用于区域级容灾恢复</w:t>
            </w:r>
          </w:p>
        </w:tc>
      </w:tr>
      <w:tr w14:paraId="1F71D600">
        <w:tc>
          <w:p w14:paraId="2A67AEB5">
            <w:r>
              <w:rPr>
                <w:rFonts w:hint="eastAsia"/>
              </w:rPr>
              <w:t>备份恢复节点</w:t>
            </w:r>
          </w:p>
        </w:tc>
        <w:tc>
          <w:p w14:paraId="13F15714">
            <w:r>
              <w:t>PITR</w:t>
            </w:r>
          </w:p>
        </w:tc>
        <w:tc>
          <w:p w14:paraId="698FE32F">
            <w:r>
              <w:rPr>
                <w:rFonts w:hint="eastAsia"/>
              </w:rPr>
              <w:t>否</w:t>
            </w:r>
          </w:p>
        </w:tc>
        <w:tc>
          <w:p w14:paraId="00D5ACF3">
            <w:r>
              <w:rPr>
                <w:rFonts w:hint="eastAsia"/>
              </w:rPr>
              <w:t>可不单独配置在线节点</w:t>
            </w:r>
          </w:p>
        </w:tc>
        <w:tc>
          <w:p w14:paraId="05F9A148">
            <w:r>
              <w:rPr>
                <w:rFonts w:hint="eastAsia"/>
              </w:rPr>
              <w:t>可不单独配置在线节点</w:t>
            </w:r>
          </w:p>
        </w:tc>
        <w:tc>
          <w:p w14:paraId="4627DCD7">
            <w:r>
              <w:rPr>
                <w:rFonts w:hint="eastAsia"/>
              </w:rPr>
              <w:t>备份空间建议为主库有效数据量的</w:t>
            </w:r>
            <w:r>
              <w:t xml:space="preserve"> 2 </w:t>
            </w:r>
            <w:r>
              <w:rPr>
                <w:rFonts w:hint="eastAsia"/>
              </w:rPr>
              <w:t>至</w:t>
            </w:r>
            <w:r>
              <w:t xml:space="preserve"> 3 </w:t>
            </w:r>
            <w:r>
              <w:rPr>
                <w:rFonts w:hint="eastAsia"/>
              </w:rPr>
              <w:t>倍</w:t>
            </w:r>
          </w:p>
        </w:tc>
        <w:tc>
          <w:p w14:paraId="3CA4105B">
            <w:r>
              <w:rPr>
                <w:rFonts w:hint="eastAsia"/>
              </w:rPr>
              <w:t>用于误操作恢复和灾难后重建</w:t>
            </w:r>
          </w:p>
        </w:tc>
      </w:tr>
      <w:bookmarkEnd w:id="22"/>
    </w:tbl>
    <w:p w14:paraId="1D862EEC">
      <w:pPr>
        <w:pStyle w:val="4"/>
      </w:pPr>
      <w:bookmarkStart w:id="23" w:name="资源配比说明"/>
      <w:r>
        <w:rPr>
          <w:rFonts w:hint="eastAsia"/>
        </w:rPr>
        <w:t>资源配比说明</w:t>
      </w:r>
    </w:p>
    <w:p w14:paraId="0B460281">
      <w:pPr>
        <w:numPr>
          <w:ilvl w:val="0"/>
          <w:numId w:val="9"/>
        </w:numPr>
      </w:pPr>
      <w:r>
        <w:rPr>
          <w:rFonts w:hint="eastAsia"/>
        </w:rPr>
        <w:t>备库存储不能按</w:t>
      </w:r>
      <w:r>
        <w:t xml:space="preserve"> </w:t>
      </w:r>
      <w:r>
        <w:rPr>
          <w:rFonts w:hint="eastAsia"/>
        </w:rPr>
        <w:t>CPU、内存比例缩减，原因是</w:t>
      </w:r>
      <w:r>
        <w:t xml:space="preserve"> PostgreSQL </w:t>
      </w:r>
      <w:r>
        <w:rPr>
          <w:rFonts w:hint="eastAsia"/>
        </w:rPr>
        <w:t>备库需要保存完整数据文件、索引文件及</w:t>
      </w:r>
      <w:r>
        <w:t xml:space="preserve"> WAL </w:t>
      </w:r>
      <w:r>
        <w:rPr>
          <w:rFonts w:hint="eastAsia"/>
        </w:rPr>
        <w:t>回放空间。</w:t>
      </w:r>
    </w:p>
    <w:p w14:paraId="57CE0E18">
      <w:pPr>
        <w:numPr>
          <w:ilvl w:val="0"/>
          <w:numId w:val="9"/>
        </w:numPr>
      </w:pPr>
      <w:r>
        <w:rPr>
          <w:rFonts w:hint="eastAsia"/>
        </w:rPr>
        <w:t>当备库承担</w:t>
      </w:r>
      <w:r>
        <w:t xml:space="preserve"> Hot Standby </w:t>
      </w:r>
      <w:r>
        <w:rPr>
          <w:rFonts w:hint="eastAsia"/>
        </w:rPr>
        <w:t>查询或要求快速晋升为主库时，推荐按主库同规格申请。</w:t>
      </w:r>
    </w:p>
    <w:p w14:paraId="6C75D955">
      <w:pPr>
        <w:numPr>
          <w:ilvl w:val="0"/>
          <w:numId w:val="9"/>
        </w:numPr>
      </w:pPr>
      <w:r>
        <w:rPr>
          <w:rFonts w:hint="eastAsia"/>
        </w:rPr>
        <w:t>当备库仅作为冷备或异步灾备节点时，可降低计算资源，但仍需预留恢复、回放和切换后的运行余量。</w:t>
      </w:r>
    </w:p>
    <w:bookmarkEnd w:id="20"/>
    <w:bookmarkEnd w:id="23"/>
    <w:p w14:paraId="33BC580D">
      <w:pPr>
        <w:pStyle w:val="3"/>
      </w:pPr>
      <w:bookmarkStart w:id="24" w:name="_Toc2073899836"/>
      <w:bookmarkStart w:id="25" w:name="推荐部署方案"/>
      <w:r>
        <w:rPr>
          <w:rFonts w:hint="eastAsia"/>
        </w:rPr>
        <w:t>推荐部署方案</w:t>
      </w:r>
      <w:bookmarkEnd w:id="24"/>
    </w:p>
    <w:p w14:paraId="4F2D7F8C">
      <w:r>
        <w:rPr>
          <w:rFonts w:hint="eastAsia"/>
        </w:rPr>
        <w:t>结合福建水务营收系统收费、账务、对账等核心业务连续性要求，建议分为三档申请方案。</w:t>
      </w:r>
    </w:p>
    <w:p w14:paraId="48432312">
      <w:pPr>
        <w:pStyle w:val="4"/>
      </w:pPr>
      <w:bookmarkStart w:id="26" w:name="方案-a基础上线方案"/>
      <w:r>
        <w:rPr>
          <w:rFonts w:hint="eastAsia"/>
        </w:rPr>
        <w:t>方案</w:t>
      </w:r>
      <w:r>
        <w:t xml:space="preserve"> </w:t>
      </w:r>
      <w:r>
        <w:rPr>
          <w:rFonts w:hint="eastAsia"/>
        </w:rPr>
        <w:t>A：基础上线方案</w:t>
      </w:r>
    </w:p>
    <w:p w14:paraId="5D075B46">
      <w:pPr>
        <w:numPr>
          <w:ilvl w:val="0"/>
          <w:numId w:val="10"/>
        </w:numPr>
      </w:pPr>
      <w:r>
        <w:rPr>
          <w:rFonts w:hint="eastAsia"/>
        </w:rPr>
        <w:t>架构形态：单中心主备容灾。</w:t>
      </w:r>
    </w:p>
    <w:p w14:paraId="2310B512">
      <w:pPr>
        <w:numPr>
          <w:ilvl w:val="0"/>
          <w:numId w:val="10"/>
        </w:numPr>
      </w:pPr>
      <w:r>
        <w:rPr>
          <w:rFonts w:hint="eastAsia"/>
        </w:rPr>
        <w:t>节点组成：1</w:t>
      </w:r>
      <w:r>
        <w:t xml:space="preserve"> </w:t>
      </w:r>
      <w:r>
        <w:rPr>
          <w:rFonts w:hint="eastAsia"/>
        </w:rPr>
        <w:t>主库</w:t>
      </w:r>
      <w:r>
        <w:t xml:space="preserve"> + 1 </w:t>
      </w:r>
      <w:r>
        <w:rPr>
          <w:rFonts w:hint="eastAsia"/>
        </w:rPr>
        <w:t>备库</w:t>
      </w:r>
      <w:r>
        <w:t xml:space="preserve"> + 1 </w:t>
      </w:r>
      <w:r>
        <w:rPr>
          <w:rFonts w:hint="eastAsia"/>
        </w:rPr>
        <w:t>套备份归档存储。</w:t>
      </w:r>
    </w:p>
    <w:p w14:paraId="5EA1132D">
      <w:pPr>
        <w:numPr>
          <w:ilvl w:val="0"/>
          <w:numId w:val="10"/>
        </w:numPr>
      </w:pPr>
      <w:r>
        <w:rPr>
          <w:rFonts w:hint="eastAsia"/>
        </w:rPr>
        <w:t>复制方式：异步复制。</w:t>
      </w:r>
    </w:p>
    <w:p w14:paraId="1DD0531F">
      <w:pPr>
        <w:numPr>
          <w:ilvl w:val="0"/>
          <w:numId w:val="10"/>
        </w:numPr>
      </w:pPr>
      <w:r>
        <w:rPr>
          <w:rFonts w:hint="eastAsia"/>
        </w:rPr>
        <w:t>适用场景：预算受限、优先满足基本高可用要求。</w:t>
      </w:r>
    </w:p>
    <w:bookmarkEnd w:id="26"/>
    <w:p w14:paraId="6D5BD483">
      <w:pPr>
        <w:pStyle w:val="4"/>
      </w:pPr>
      <w:bookmarkStart w:id="27" w:name="方案-b正式生产推荐方案"/>
      <w:r>
        <w:rPr>
          <w:rFonts w:hint="eastAsia"/>
        </w:rPr>
        <w:t>方案</w:t>
      </w:r>
      <w:r>
        <w:t xml:space="preserve"> </w:t>
      </w:r>
      <w:r>
        <w:rPr>
          <w:rFonts w:hint="eastAsia"/>
        </w:rPr>
        <w:t>B：正式生产推荐方案</w:t>
      </w:r>
    </w:p>
    <w:p w14:paraId="271BA7B1">
      <w:pPr>
        <w:numPr>
          <w:ilvl w:val="0"/>
          <w:numId w:val="11"/>
        </w:numPr>
      </w:pPr>
      <w:r>
        <w:rPr>
          <w:rFonts w:hint="eastAsia"/>
        </w:rPr>
        <w:t>架构形态：同城双可用区主备容灾。</w:t>
      </w:r>
    </w:p>
    <w:p w14:paraId="7A09FB37">
      <w:pPr>
        <w:numPr>
          <w:ilvl w:val="0"/>
          <w:numId w:val="11"/>
        </w:numPr>
      </w:pPr>
      <w:r>
        <w:rPr>
          <w:rFonts w:hint="eastAsia"/>
        </w:rPr>
        <w:t>节点组成：1</w:t>
      </w:r>
      <w:r>
        <w:t xml:space="preserve"> </w:t>
      </w:r>
      <w:r>
        <w:rPr>
          <w:rFonts w:hint="eastAsia"/>
        </w:rPr>
        <w:t>主库</w:t>
      </w:r>
      <w:r>
        <w:t xml:space="preserve"> + 1 </w:t>
      </w:r>
      <w:r>
        <w:rPr>
          <w:rFonts w:hint="eastAsia"/>
        </w:rPr>
        <w:t>同城热备库</w:t>
      </w:r>
      <w:r>
        <w:t xml:space="preserve"> + 1 </w:t>
      </w:r>
      <w:r>
        <w:rPr>
          <w:rFonts w:hint="eastAsia"/>
        </w:rPr>
        <w:t>套备份归档存储。</w:t>
      </w:r>
    </w:p>
    <w:p w14:paraId="62A4DE4D">
      <w:pPr>
        <w:numPr>
          <w:ilvl w:val="0"/>
          <w:numId w:val="11"/>
        </w:numPr>
      </w:pPr>
      <w:r>
        <w:rPr>
          <w:rFonts w:hint="eastAsia"/>
        </w:rPr>
        <w:t>复制方式：核心业务优先评估同步复制。</w:t>
      </w:r>
    </w:p>
    <w:p w14:paraId="3051B41B">
      <w:pPr>
        <w:numPr>
          <w:ilvl w:val="0"/>
          <w:numId w:val="11"/>
        </w:numPr>
      </w:pPr>
      <w:r>
        <w:rPr>
          <w:rFonts w:hint="eastAsia"/>
        </w:rPr>
        <w:t>适用场景：正式生产环境，要求故障切换后快速恢复业务。</w:t>
      </w:r>
    </w:p>
    <w:bookmarkEnd w:id="27"/>
    <w:p w14:paraId="2EF4C4D9">
      <w:pPr>
        <w:pStyle w:val="4"/>
      </w:pPr>
      <w:bookmarkStart w:id="28" w:name="方案-c正式生产增强方案"/>
      <w:r>
        <w:rPr>
          <w:rFonts w:hint="eastAsia"/>
        </w:rPr>
        <w:t>方案</w:t>
      </w:r>
      <w:r>
        <w:t xml:space="preserve"> </w:t>
      </w:r>
      <w:r>
        <w:rPr>
          <w:rFonts w:hint="eastAsia"/>
        </w:rPr>
        <w:t>C：正式生产增强方案</w:t>
      </w:r>
    </w:p>
    <w:p w14:paraId="2294B22F">
      <w:pPr>
        <w:numPr>
          <w:ilvl w:val="0"/>
          <w:numId w:val="12"/>
        </w:numPr>
      </w:pPr>
      <w:r>
        <w:rPr>
          <w:rFonts w:hint="eastAsia"/>
        </w:rPr>
        <w:t>架构形态：同城双中心</w:t>
      </w:r>
      <w:r>
        <w:t xml:space="preserve"> + </w:t>
      </w:r>
      <w:r>
        <w:rPr>
          <w:rFonts w:hint="eastAsia"/>
        </w:rPr>
        <w:t>异地灾备。</w:t>
      </w:r>
    </w:p>
    <w:p w14:paraId="3441BEF4">
      <w:pPr>
        <w:numPr>
          <w:ilvl w:val="0"/>
          <w:numId w:val="12"/>
        </w:numPr>
      </w:pPr>
      <w:r>
        <w:rPr>
          <w:rFonts w:hint="eastAsia"/>
        </w:rPr>
        <w:t>节点组成：1</w:t>
      </w:r>
      <w:r>
        <w:t xml:space="preserve"> </w:t>
      </w:r>
      <w:r>
        <w:rPr>
          <w:rFonts w:hint="eastAsia"/>
        </w:rPr>
        <w:t>主库</w:t>
      </w:r>
      <w:r>
        <w:t xml:space="preserve"> + 1 </w:t>
      </w:r>
      <w:r>
        <w:rPr>
          <w:rFonts w:hint="eastAsia"/>
        </w:rPr>
        <w:t>同城同步热备库</w:t>
      </w:r>
      <w:r>
        <w:t xml:space="preserve"> + 1 </w:t>
      </w:r>
      <w:r>
        <w:rPr>
          <w:rFonts w:hint="eastAsia"/>
        </w:rPr>
        <w:t>异地异步灾备库</w:t>
      </w:r>
      <w:r>
        <w:t xml:space="preserve"> + 1 </w:t>
      </w:r>
      <w:r>
        <w:rPr>
          <w:rFonts w:hint="eastAsia"/>
        </w:rPr>
        <w:t>套集中备份归档存储。</w:t>
      </w:r>
    </w:p>
    <w:p w14:paraId="15DC584B">
      <w:pPr>
        <w:numPr>
          <w:ilvl w:val="0"/>
          <w:numId w:val="12"/>
        </w:numPr>
      </w:pPr>
      <w:r>
        <w:rPr>
          <w:rFonts w:hint="eastAsia"/>
        </w:rPr>
        <w:t>复制方式：同城同步复制，异地异步复制。</w:t>
      </w:r>
    </w:p>
    <w:p w14:paraId="2E20B4AE">
      <w:pPr>
        <w:numPr>
          <w:ilvl w:val="0"/>
          <w:numId w:val="12"/>
        </w:numPr>
      </w:pPr>
      <w:r>
        <w:rPr>
          <w:rFonts w:hint="eastAsia"/>
        </w:rPr>
        <w:t>适用场景：甲方对连续运行、审计留痕、灾难恢复要求较高的正式建设项目。</w:t>
      </w:r>
    </w:p>
    <w:p w14:paraId="02B19F7D">
      <w:r>
        <w:rPr>
          <w:rFonts w:hint="eastAsia"/>
        </w:rPr>
        <w:t>本项目建议优先向甲方申请方案</w:t>
      </w:r>
      <w:r>
        <w:t xml:space="preserve"> </w:t>
      </w:r>
      <w:r>
        <w:rPr>
          <w:rFonts w:hint="eastAsia"/>
        </w:rPr>
        <w:t>B；如甲方同时要求区域级灾难恢复能力，建议直接申请方案</w:t>
      </w:r>
      <w:r>
        <w:t xml:space="preserve"> C。</w:t>
      </w:r>
    </w:p>
    <w:bookmarkEnd w:id="25"/>
    <w:bookmarkEnd w:id="28"/>
    <w:p w14:paraId="436BA5BC">
      <w:pPr>
        <w:pStyle w:val="3"/>
      </w:pPr>
      <w:bookmarkStart w:id="29" w:name="_Toc227469195"/>
      <w:bookmarkStart w:id="30" w:name="甲方审批汇总表"/>
      <w:r>
        <w:rPr>
          <w:rFonts w:hint="eastAsia"/>
        </w:rPr>
        <w:t>甲方审批汇总表</w:t>
      </w:r>
      <w:bookmarkEnd w:id="29"/>
    </w:p>
    <w:p w14:paraId="649B45A7">
      <w:r>
        <w:rPr>
          <w:rFonts w:hint="eastAsia"/>
        </w:rPr>
        <w:t>以下汇总表用于甲方进行资源审批、预算评估和实施范围确认。建议优先按“方案</w:t>
      </w:r>
      <w:r>
        <w:t xml:space="preserve"> </w:t>
      </w:r>
      <w:r>
        <w:rPr>
          <w:rFonts w:hint="eastAsia"/>
        </w:rPr>
        <w:t>B：正式生产推荐方案”审批；如甲方同时要求区域级灾难恢复能力，可按“方案</w:t>
      </w:r>
      <w:r>
        <w:t xml:space="preserve"> </w:t>
      </w:r>
      <w:r>
        <w:rPr>
          <w:rFonts w:hint="eastAsia"/>
        </w:rPr>
        <w:t>C：正式生产增强方案”审批。</w:t>
      </w:r>
    </w:p>
    <w:p w14:paraId="06153B7C">
      <w:pPr>
        <w:pStyle w:val="4"/>
      </w:pPr>
      <w:bookmarkStart w:id="31" w:name="方案-a基础上线方案审批汇总表"/>
      <w:r>
        <w:rPr>
          <w:rFonts w:hint="eastAsia"/>
        </w:rPr>
        <w:t>方案</w:t>
      </w:r>
      <w:r>
        <w:t xml:space="preserve"> </w:t>
      </w:r>
      <w:r>
        <w:rPr>
          <w:rFonts w:hint="eastAsia"/>
        </w:rPr>
        <w:t>A：基础上线方案审批汇总表</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794"/>
        <w:gridCol w:w="2393"/>
        <w:gridCol w:w="1794"/>
        <w:gridCol w:w="1794"/>
      </w:tblGrid>
      <w:tr w14:paraId="33F16B41">
        <w:trPr>
          <w:tblHeader/>
        </w:trPr>
        <w:tc>
          <w:p w14:paraId="1D525F77">
            <w:r>
              <w:rPr>
                <w:rFonts w:hint="eastAsia"/>
              </w:rPr>
              <w:t>类别</w:t>
            </w:r>
          </w:p>
        </w:tc>
        <w:tc>
          <w:p w14:paraId="683A1374">
            <w:r>
              <w:rPr>
                <w:rFonts w:hint="eastAsia"/>
              </w:rPr>
              <w:t>资源项</w:t>
            </w:r>
          </w:p>
        </w:tc>
        <w:tc>
          <w:p w14:paraId="0E1DB3C2">
            <w:pPr>
              <w:jc w:val="right"/>
            </w:pPr>
            <w:r>
              <w:rPr>
                <w:rFonts w:hint="eastAsia"/>
              </w:rPr>
              <w:t>数量</w:t>
            </w:r>
          </w:p>
        </w:tc>
        <w:tc>
          <w:p w14:paraId="5C68E03A">
            <w:r>
              <w:rPr>
                <w:rFonts w:hint="eastAsia"/>
              </w:rPr>
              <w:t>单项建议规格</w:t>
            </w:r>
          </w:p>
        </w:tc>
        <w:tc>
          <w:p w14:paraId="6366D07C">
            <w:r>
              <w:rPr>
                <w:rFonts w:hint="eastAsia"/>
              </w:rPr>
              <w:t>审批说明</w:t>
            </w:r>
          </w:p>
        </w:tc>
      </w:tr>
      <w:tr w14:paraId="30509B07">
        <w:tc>
          <w:p w14:paraId="70F165AD">
            <w:r>
              <w:rPr>
                <w:rFonts w:hint="eastAsia"/>
              </w:rPr>
              <w:t>服务器</w:t>
            </w:r>
          </w:p>
        </w:tc>
        <w:tc>
          <w:p w14:paraId="6C272330">
            <w:r>
              <w:rPr>
                <w:rFonts w:hint="eastAsia"/>
              </w:rPr>
              <w:t>主库服务器</w:t>
            </w:r>
          </w:p>
        </w:tc>
        <w:tc>
          <w:p w14:paraId="6E1B3EF9">
            <w:pPr>
              <w:jc w:val="right"/>
            </w:pPr>
            <w:r>
              <w:t xml:space="preserve">1 </w:t>
            </w:r>
            <w:r>
              <w:rPr>
                <w:rFonts w:hint="eastAsia"/>
              </w:rPr>
              <w:t>台</w:t>
            </w:r>
          </w:p>
        </w:tc>
        <w:tc>
          <w:p w14:paraId="1EEFC106">
            <w:r>
              <w:t xml:space="preserve">16 </w:t>
            </w:r>
            <w:r>
              <w:rPr>
                <w:rFonts w:hint="eastAsia"/>
              </w:rPr>
              <w:t>核</w:t>
            </w:r>
            <w:r>
              <w:t xml:space="preserve"> CPU / 64 GB </w:t>
            </w:r>
            <w:r>
              <w:rPr>
                <w:rFonts w:hint="eastAsia"/>
              </w:rPr>
              <w:t>内存</w:t>
            </w:r>
            <w:r>
              <w:t xml:space="preserve"> / 2 TB NVMe SSD</w:t>
            </w:r>
          </w:p>
        </w:tc>
        <w:tc>
          <w:p w14:paraId="36228904">
            <w:r>
              <w:rPr>
                <w:rFonts w:hint="eastAsia"/>
              </w:rPr>
              <w:t>承担全部生产写入</w:t>
            </w:r>
          </w:p>
        </w:tc>
      </w:tr>
      <w:tr w14:paraId="1CA50EA1">
        <w:tc>
          <w:p w14:paraId="182B3A36">
            <w:r>
              <w:rPr>
                <w:rFonts w:hint="eastAsia"/>
              </w:rPr>
              <w:t>服务器</w:t>
            </w:r>
          </w:p>
        </w:tc>
        <w:tc>
          <w:p w14:paraId="1DEF3C19">
            <w:r>
              <w:rPr>
                <w:rFonts w:hint="eastAsia"/>
              </w:rPr>
              <w:t>备库服务器</w:t>
            </w:r>
          </w:p>
        </w:tc>
        <w:tc>
          <w:p w14:paraId="6E597B00">
            <w:pPr>
              <w:jc w:val="right"/>
            </w:pPr>
            <w:r>
              <w:t xml:space="preserve">1 </w:t>
            </w:r>
            <w:r>
              <w:rPr>
                <w:rFonts w:hint="eastAsia"/>
              </w:rPr>
              <w:t>台</w:t>
            </w:r>
          </w:p>
        </w:tc>
        <w:tc>
          <w:p w14:paraId="40903107">
            <w:r>
              <w:t xml:space="preserve">12 </w:t>
            </w:r>
            <w:r>
              <w:rPr>
                <w:rFonts w:hint="eastAsia"/>
              </w:rPr>
              <w:t>至</w:t>
            </w:r>
            <w:r>
              <w:t xml:space="preserve"> 16 </w:t>
            </w:r>
            <w:r>
              <w:rPr>
                <w:rFonts w:hint="eastAsia"/>
              </w:rPr>
              <w:t>核</w:t>
            </w:r>
            <w:r>
              <w:t xml:space="preserve"> CPU / 48 </w:t>
            </w:r>
            <w:r>
              <w:rPr>
                <w:rFonts w:hint="eastAsia"/>
              </w:rPr>
              <w:t>至</w:t>
            </w:r>
            <w:r>
              <w:t xml:space="preserve"> 64 GB </w:t>
            </w:r>
            <w:r>
              <w:rPr>
                <w:rFonts w:hint="eastAsia"/>
              </w:rPr>
              <w:t>内存</w:t>
            </w:r>
            <w:r>
              <w:t xml:space="preserve"> / 2 TB NVMe SSD</w:t>
            </w:r>
          </w:p>
        </w:tc>
        <w:tc>
          <w:p w14:paraId="66C10A95">
            <w:r>
              <w:rPr>
                <w:rFonts w:hint="eastAsia"/>
              </w:rPr>
              <w:t>承担主库故障接管</w:t>
            </w:r>
          </w:p>
        </w:tc>
      </w:tr>
      <w:tr w14:paraId="2096ABCF">
        <w:tc>
          <w:p w14:paraId="27B9D099">
            <w:r>
              <w:rPr>
                <w:rFonts w:hint="eastAsia"/>
              </w:rPr>
              <w:t>服务器</w:t>
            </w:r>
          </w:p>
        </w:tc>
        <w:tc>
          <w:p w14:paraId="4F820D48">
            <w:r>
              <w:rPr>
                <w:rFonts w:hint="eastAsia"/>
              </w:rPr>
              <w:t>管理与监控节点</w:t>
            </w:r>
          </w:p>
        </w:tc>
        <w:tc>
          <w:p w14:paraId="47DF5931">
            <w:pPr>
              <w:jc w:val="right"/>
            </w:pPr>
            <w:r>
              <w:t xml:space="preserve">1 </w:t>
            </w:r>
            <w:r>
              <w:rPr>
                <w:rFonts w:hint="eastAsia"/>
              </w:rPr>
              <w:t>台</w:t>
            </w:r>
          </w:p>
        </w:tc>
        <w:tc>
          <w:p w14:paraId="53268EE7">
            <w:r>
              <w:t xml:space="preserve">8 </w:t>
            </w:r>
            <w:r>
              <w:rPr>
                <w:rFonts w:hint="eastAsia"/>
              </w:rPr>
              <w:t>核</w:t>
            </w:r>
            <w:r>
              <w:t xml:space="preserve"> CPU / 16 GB </w:t>
            </w:r>
            <w:r>
              <w:rPr>
                <w:rFonts w:hint="eastAsia"/>
              </w:rPr>
              <w:t>内存</w:t>
            </w:r>
            <w:r>
              <w:t xml:space="preserve"> / 500 GB SSD</w:t>
            </w:r>
          </w:p>
        </w:tc>
        <w:tc>
          <w:p w14:paraId="39977BAD">
            <w:r>
              <w:rPr>
                <w:rFonts w:hint="eastAsia"/>
              </w:rPr>
              <w:t>部署监控、备份调度、巡检工具</w:t>
            </w:r>
          </w:p>
        </w:tc>
      </w:tr>
      <w:tr w14:paraId="0740FA12">
        <w:tc>
          <w:p w14:paraId="2DD2B1E6">
            <w:r>
              <w:rPr>
                <w:rFonts w:hint="eastAsia"/>
              </w:rPr>
              <w:t>存储</w:t>
            </w:r>
          </w:p>
        </w:tc>
        <w:tc>
          <w:p w14:paraId="34E27B4B">
            <w:r>
              <w:rPr>
                <w:rFonts w:hint="eastAsia"/>
              </w:rPr>
              <w:t>备份归档存储</w:t>
            </w:r>
          </w:p>
        </w:tc>
        <w:tc>
          <w:p w14:paraId="65943C2C">
            <w:pPr>
              <w:jc w:val="right"/>
            </w:pPr>
            <w:r>
              <w:t xml:space="preserve">1 </w:t>
            </w:r>
            <w:r>
              <w:rPr>
                <w:rFonts w:hint="eastAsia"/>
              </w:rPr>
              <w:t>套</w:t>
            </w:r>
          </w:p>
        </w:tc>
        <w:tc>
          <w:p w14:paraId="24937194">
            <w:r>
              <w:rPr>
                <w:rFonts w:hint="eastAsia"/>
              </w:rPr>
              <w:t>可用空间</w:t>
            </w:r>
            <w:r>
              <w:t xml:space="preserve"> 4 TB </w:t>
            </w:r>
            <w:r>
              <w:rPr>
                <w:rFonts w:hint="eastAsia"/>
              </w:rPr>
              <w:t>起</w:t>
            </w:r>
          </w:p>
        </w:tc>
        <w:tc>
          <w:p w14:paraId="26B44101">
            <w:r>
              <w:rPr>
                <w:rFonts w:hint="eastAsia"/>
              </w:rPr>
              <w:t>存放全量备份与</w:t>
            </w:r>
            <w:r>
              <w:t xml:space="preserve"> WAL </w:t>
            </w:r>
            <w:r>
              <w:rPr>
                <w:rFonts w:hint="eastAsia"/>
              </w:rPr>
              <w:t>归档</w:t>
            </w:r>
          </w:p>
        </w:tc>
      </w:tr>
      <w:tr w14:paraId="74B19781">
        <w:tc>
          <w:p w14:paraId="25C6481B">
            <w:r>
              <w:rPr>
                <w:rFonts w:hint="eastAsia"/>
              </w:rPr>
              <w:t>网络</w:t>
            </w:r>
          </w:p>
        </w:tc>
        <w:tc>
          <w:p w14:paraId="31964E54">
            <w:r>
              <w:rPr>
                <w:rFonts w:hint="eastAsia"/>
              </w:rPr>
              <w:t>主备复制链路</w:t>
            </w:r>
          </w:p>
        </w:tc>
        <w:tc>
          <w:p w14:paraId="02C52D22">
            <w:pPr>
              <w:jc w:val="right"/>
            </w:pPr>
            <w:r>
              <w:t xml:space="preserve">1 </w:t>
            </w:r>
            <w:r>
              <w:rPr>
                <w:rFonts w:hint="eastAsia"/>
              </w:rPr>
              <w:t>组</w:t>
            </w:r>
          </w:p>
        </w:tc>
        <w:tc>
          <w:p w14:paraId="2606D243">
            <w:r>
              <w:rPr>
                <w:rFonts w:hint="eastAsia"/>
              </w:rPr>
              <w:t>不低于</w:t>
            </w:r>
            <w:r>
              <w:t xml:space="preserve"> 10 Gbps</w:t>
            </w:r>
          </w:p>
        </w:tc>
        <w:tc>
          <w:p w14:paraId="20200F2D">
            <w:r>
              <w:rPr>
                <w:rFonts w:hint="eastAsia"/>
              </w:rPr>
              <w:t>建议与业务访问链路隔离</w:t>
            </w:r>
          </w:p>
        </w:tc>
      </w:tr>
      <w:tr w14:paraId="7B053E18">
        <w:tc>
          <w:p w14:paraId="2C5B05B8">
            <w:r>
              <w:rPr>
                <w:rFonts w:hint="eastAsia"/>
              </w:rPr>
              <w:t>网络</w:t>
            </w:r>
          </w:p>
        </w:tc>
        <w:tc>
          <w:p w14:paraId="498F455A">
            <w:r>
              <w:rPr>
                <w:rFonts w:hint="eastAsia"/>
              </w:rPr>
              <w:t>业务接入地址</w:t>
            </w:r>
          </w:p>
        </w:tc>
        <w:tc>
          <w:p w14:paraId="67A6F3C3">
            <w:pPr>
              <w:jc w:val="right"/>
            </w:pPr>
            <w:r>
              <w:t xml:space="preserve">1 </w:t>
            </w:r>
            <w:r>
              <w:rPr>
                <w:rFonts w:hint="eastAsia"/>
              </w:rPr>
              <w:t>组</w:t>
            </w:r>
          </w:p>
        </w:tc>
        <w:tc>
          <w:p w14:paraId="0C0A6151">
            <w:r>
              <w:rPr>
                <w:rFonts w:hint="eastAsia"/>
              </w:rPr>
              <w:t>统一数据库代理地址</w:t>
            </w:r>
          </w:p>
        </w:tc>
        <w:tc>
          <w:p w14:paraId="40B57961">
            <w:r>
              <w:rPr>
                <w:rFonts w:hint="eastAsia"/>
              </w:rPr>
              <w:t>应用统一接入，不直连数据库</w:t>
            </w:r>
            <w:r>
              <w:t xml:space="preserve"> IP</w:t>
            </w:r>
          </w:p>
        </w:tc>
      </w:tr>
      <w:tr w14:paraId="373BFB40">
        <w:tc>
          <w:p w14:paraId="30E9ADA9">
            <w:r>
              <w:rPr>
                <w:rFonts w:hint="eastAsia"/>
              </w:rPr>
              <w:t>软件</w:t>
            </w:r>
          </w:p>
        </w:tc>
        <w:tc>
          <w:p w14:paraId="7DB6B038">
            <w:r>
              <w:t>PostgreSQL 16</w:t>
            </w:r>
          </w:p>
        </w:tc>
        <w:tc>
          <w:p w14:paraId="6EE653BC">
            <w:pPr>
              <w:jc w:val="right"/>
            </w:pPr>
            <w:r>
              <w:t xml:space="preserve">2 </w:t>
            </w:r>
            <w:r>
              <w:rPr>
                <w:rFonts w:hint="eastAsia"/>
              </w:rPr>
              <w:t>套实例</w:t>
            </w:r>
          </w:p>
        </w:tc>
        <w:tc>
          <w:p w14:paraId="4A0795E0">
            <w:r>
              <w:rPr>
                <w:rFonts w:hint="eastAsia"/>
              </w:rPr>
              <w:t>主库</w:t>
            </w:r>
            <w:r>
              <w:t xml:space="preserve"> 1 </w:t>
            </w:r>
            <w:r>
              <w:rPr>
                <w:rFonts w:hint="eastAsia"/>
              </w:rPr>
              <w:t>套，备库</w:t>
            </w:r>
            <w:r>
              <w:t xml:space="preserve"> 1 </w:t>
            </w:r>
            <w:r>
              <w:rPr>
                <w:rFonts w:hint="eastAsia"/>
              </w:rPr>
              <w:t>套</w:t>
            </w:r>
          </w:p>
        </w:tc>
        <w:tc>
          <w:p w14:paraId="2EAAB321">
            <w:r>
              <w:rPr>
                <w:rFonts w:hint="eastAsia"/>
              </w:rPr>
              <w:t>构建基础主备容灾</w:t>
            </w:r>
          </w:p>
        </w:tc>
      </w:tr>
      <w:tr w14:paraId="1E60CF7C">
        <w:tc>
          <w:p w14:paraId="6637566E">
            <w:r>
              <w:rPr>
                <w:rFonts w:hint="eastAsia"/>
              </w:rPr>
              <w:t>软件</w:t>
            </w:r>
          </w:p>
        </w:tc>
        <w:tc>
          <w:p w14:paraId="71C5C08A">
            <w:r>
              <w:t>PgBouncer</w:t>
            </w:r>
          </w:p>
        </w:tc>
        <w:tc>
          <w:p w14:paraId="1B200D86">
            <w:pPr>
              <w:jc w:val="right"/>
            </w:pPr>
            <w:r>
              <w:t xml:space="preserve">1 </w:t>
            </w:r>
            <w:r>
              <w:rPr>
                <w:rFonts w:hint="eastAsia"/>
              </w:rPr>
              <w:t>套</w:t>
            </w:r>
          </w:p>
        </w:tc>
        <w:tc>
          <w:p w14:paraId="6B8F69CA">
            <w:r>
              <w:rPr>
                <w:rFonts w:hint="eastAsia"/>
              </w:rPr>
              <w:t>连接池代理</w:t>
            </w:r>
          </w:p>
        </w:tc>
        <w:tc>
          <w:p w14:paraId="2421D790">
            <w:r>
              <w:rPr>
                <w:rFonts w:hint="eastAsia"/>
              </w:rPr>
              <w:t>统一控制连接数</w:t>
            </w:r>
          </w:p>
        </w:tc>
      </w:tr>
      <w:tr w14:paraId="43D3BCD1">
        <w:tc>
          <w:p w14:paraId="615EA5F9">
            <w:r>
              <w:rPr>
                <w:rFonts w:hint="eastAsia"/>
              </w:rPr>
              <w:t>软件</w:t>
            </w:r>
          </w:p>
        </w:tc>
        <w:tc>
          <w:p w14:paraId="659DEF99">
            <w:r>
              <w:t>HAProxy</w:t>
            </w:r>
          </w:p>
        </w:tc>
        <w:tc>
          <w:p w14:paraId="7D33C002">
            <w:pPr>
              <w:jc w:val="right"/>
            </w:pPr>
            <w:r>
              <w:t xml:space="preserve">1 </w:t>
            </w:r>
            <w:r>
              <w:rPr>
                <w:rFonts w:hint="eastAsia"/>
              </w:rPr>
              <w:t>套</w:t>
            </w:r>
          </w:p>
        </w:tc>
        <w:tc>
          <w:p w14:paraId="08A6F2B0">
            <w:r>
              <w:rPr>
                <w:rFonts w:hint="eastAsia"/>
              </w:rPr>
              <w:t>数据库入口代理</w:t>
            </w:r>
          </w:p>
        </w:tc>
        <w:tc>
          <w:p w14:paraId="4F39E384">
            <w:r>
              <w:rPr>
                <w:rFonts w:hint="eastAsia"/>
              </w:rPr>
              <w:t>提供统一切换入口</w:t>
            </w:r>
          </w:p>
        </w:tc>
      </w:tr>
      <w:tr w14:paraId="17BDDFBB">
        <w:tc>
          <w:p w14:paraId="3D922E67">
            <w:r>
              <w:rPr>
                <w:rFonts w:hint="eastAsia"/>
              </w:rPr>
              <w:t>软件</w:t>
            </w:r>
          </w:p>
        </w:tc>
        <w:tc>
          <w:p w14:paraId="4EE8A92D">
            <w:r>
              <w:t>Patroni</w:t>
            </w:r>
          </w:p>
        </w:tc>
        <w:tc>
          <w:p w14:paraId="656D5913">
            <w:pPr>
              <w:jc w:val="right"/>
            </w:pPr>
            <w:r>
              <w:t xml:space="preserve">1 </w:t>
            </w:r>
            <w:r>
              <w:rPr>
                <w:rFonts w:hint="eastAsia"/>
              </w:rPr>
              <w:t>套</w:t>
            </w:r>
          </w:p>
        </w:tc>
        <w:tc>
          <w:p w14:paraId="67FCC97F">
            <w:r>
              <w:rPr>
                <w:rFonts w:hint="eastAsia"/>
              </w:rPr>
              <w:t>高可用管理组件</w:t>
            </w:r>
          </w:p>
        </w:tc>
        <w:tc>
          <w:p w14:paraId="5536D80A">
            <w:r>
              <w:rPr>
                <w:rFonts w:hint="eastAsia"/>
              </w:rPr>
              <w:t>管理主备选举与切换</w:t>
            </w:r>
          </w:p>
        </w:tc>
      </w:tr>
      <w:bookmarkEnd w:id="31"/>
    </w:tbl>
    <w:p w14:paraId="42D7C8E3">
      <w:pPr>
        <w:pStyle w:val="4"/>
      </w:pPr>
      <w:bookmarkStart w:id="32" w:name="方案-b正式生产推荐方案审批汇总表"/>
      <w:r>
        <w:rPr>
          <w:rFonts w:hint="eastAsia"/>
        </w:rPr>
        <w:t>方案</w:t>
      </w:r>
      <w:r>
        <w:t xml:space="preserve"> </w:t>
      </w:r>
      <w:r>
        <w:rPr>
          <w:rFonts w:hint="eastAsia"/>
        </w:rPr>
        <w:t>B：正式生产推荐方案审批汇总表</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794"/>
        <w:gridCol w:w="2393"/>
        <w:gridCol w:w="1794"/>
        <w:gridCol w:w="1794"/>
      </w:tblGrid>
      <w:tr w14:paraId="20B2828A">
        <w:trPr>
          <w:tblHeader/>
        </w:trPr>
        <w:tc>
          <w:p w14:paraId="493A8036">
            <w:r>
              <w:rPr>
                <w:rFonts w:hint="eastAsia"/>
              </w:rPr>
              <w:t>类别</w:t>
            </w:r>
          </w:p>
        </w:tc>
        <w:tc>
          <w:p w14:paraId="14D84B9B">
            <w:r>
              <w:rPr>
                <w:rFonts w:hint="eastAsia"/>
              </w:rPr>
              <w:t>资源项</w:t>
            </w:r>
          </w:p>
        </w:tc>
        <w:tc>
          <w:p w14:paraId="29B1A7AE">
            <w:pPr>
              <w:jc w:val="right"/>
            </w:pPr>
            <w:r>
              <w:rPr>
                <w:rFonts w:hint="eastAsia"/>
              </w:rPr>
              <w:t>数量</w:t>
            </w:r>
          </w:p>
        </w:tc>
        <w:tc>
          <w:p w14:paraId="2B8F689B">
            <w:r>
              <w:rPr>
                <w:rFonts w:hint="eastAsia"/>
              </w:rPr>
              <w:t>单项建议规格</w:t>
            </w:r>
          </w:p>
        </w:tc>
        <w:tc>
          <w:p w14:paraId="715789DA">
            <w:r>
              <w:rPr>
                <w:rFonts w:hint="eastAsia"/>
              </w:rPr>
              <w:t>审批说明</w:t>
            </w:r>
          </w:p>
        </w:tc>
      </w:tr>
      <w:tr w14:paraId="20FBADA9">
        <w:tc>
          <w:p w14:paraId="7CA529C9">
            <w:r>
              <w:rPr>
                <w:rFonts w:hint="eastAsia"/>
              </w:rPr>
              <w:t>服务器</w:t>
            </w:r>
          </w:p>
        </w:tc>
        <w:tc>
          <w:p w14:paraId="210BBDA2">
            <w:r>
              <w:rPr>
                <w:rFonts w:hint="eastAsia"/>
              </w:rPr>
              <w:t>主库服务器</w:t>
            </w:r>
          </w:p>
        </w:tc>
        <w:tc>
          <w:p w14:paraId="02A7FE44">
            <w:pPr>
              <w:jc w:val="right"/>
            </w:pPr>
            <w:r>
              <w:t xml:space="preserve">1 </w:t>
            </w:r>
            <w:r>
              <w:rPr>
                <w:rFonts w:hint="eastAsia"/>
              </w:rPr>
              <w:t>台</w:t>
            </w:r>
          </w:p>
        </w:tc>
        <w:tc>
          <w:p w14:paraId="14C59258">
            <w:r>
              <w:t xml:space="preserve">16 </w:t>
            </w:r>
            <w:r>
              <w:rPr>
                <w:rFonts w:hint="eastAsia"/>
              </w:rPr>
              <w:t>核</w:t>
            </w:r>
            <w:r>
              <w:t xml:space="preserve"> CPU / 64 GB </w:t>
            </w:r>
            <w:r>
              <w:rPr>
                <w:rFonts w:hint="eastAsia"/>
              </w:rPr>
              <w:t>内存</w:t>
            </w:r>
            <w:r>
              <w:t xml:space="preserve"> / 2 TB NVMe SSD</w:t>
            </w:r>
          </w:p>
        </w:tc>
        <w:tc>
          <w:p w14:paraId="5052FB10">
            <w:r>
              <w:rPr>
                <w:rFonts w:hint="eastAsia"/>
              </w:rPr>
              <w:t>部署在生产可用区</w:t>
            </w:r>
          </w:p>
        </w:tc>
      </w:tr>
      <w:tr w14:paraId="7AE66613">
        <w:tc>
          <w:p w14:paraId="79D50561">
            <w:r>
              <w:rPr>
                <w:rFonts w:hint="eastAsia"/>
              </w:rPr>
              <w:t>服务器</w:t>
            </w:r>
          </w:p>
        </w:tc>
        <w:tc>
          <w:p w14:paraId="25507287">
            <w:r>
              <w:rPr>
                <w:rFonts w:hint="eastAsia"/>
              </w:rPr>
              <w:t>同城热备服务器</w:t>
            </w:r>
          </w:p>
        </w:tc>
        <w:tc>
          <w:p w14:paraId="15D95031">
            <w:pPr>
              <w:jc w:val="right"/>
            </w:pPr>
            <w:r>
              <w:t xml:space="preserve">1 </w:t>
            </w:r>
            <w:r>
              <w:rPr>
                <w:rFonts w:hint="eastAsia"/>
              </w:rPr>
              <w:t>台</w:t>
            </w:r>
          </w:p>
        </w:tc>
        <w:tc>
          <w:p w14:paraId="4958FF63">
            <w:r>
              <w:t xml:space="preserve">16 </w:t>
            </w:r>
            <w:r>
              <w:rPr>
                <w:rFonts w:hint="eastAsia"/>
              </w:rPr>
              <w:t>核</w:t>
            </w:r>
            <w:r>
              <w:t xml:space="preserve"> CPU / 64 GB </w:t>
            </w:r>
            <w:r>
              <w:rPr>
                <w:rFonts w:hint="eastAsia"/>
              </w:rPr>
              <w:t>内存</w:t>
            </w:r>
            <w:r>
              <w:t xml:space="preserve"> / 2 TB NVMe SSD</w:t>
            </w:r>
          </w:p>
        </w:tc>
        <w:tc>
          <w:p w14:paraId="6B9C1CB5">
            <w:r>
              <w:rPr>
                <w:rFonts w:hint="eastAsia"/>
              </w:rPr>
              <w:t>与主库同规格，承担正式接管</w:t>
            </w:r>
          </w:p>
        </w:tc>
      </w:tr>
      <w:tr w14:paraId="79CF8522">
        <w:tc>
          <w:p w14:paraId="43FF97EE">
            <w:r>
              <w:rPr>
                <w:rFonts w:hint="eastAsia"/>
              </w:rPr>
              <w:t>服务器</w:t>
            </w:r>
          </w:p>
        </w:tc>
        <w:tc>
          <w:p w14:paraId="5284EFB4">
            <w:r>
              <w:rPr>
                <w:rFonts w:hint="eastAsia"/>
              </w:rPr>
              <w:t>管理与监控节点</w:t>
            </w:r>
          </w:p>
        </w:tc>
        <w:tc>
          <w:p w14:paraId="7A461915">
            <w:pPr>
              <w:jc w:val="right"/>
            </w:pPr>
            <w:r>
              <w:t xml:space="preserve">1 </w:t>
            </w:r>
            <w:r>
              <w:rPr>
                <w:rFonts w:hint="eastAsia"/>
              </w:rPr>
              <w:t>台</w:t>
            </w:r>
          </w:p>
        </w:tc>
        <w:tc>
          <w:p w14:paraId="1459D637">
            <w:r>
              <w:t xml:space="preserve">8 </w:t>
            </w:r>
            <w:r>
              <w:rPr>
                <w:rFonts w:hint="eastAsia"/>
              </w:rPr>
              <w:t>核</w:t>
            </w:r>
            <w:r>
              <w:t xml:space="preserve"> CPU / 16 GB </w:t>
            </w:r>
            <w:r>
              <w:rPr>
                <w:rFonts w:hint="eastAsia"/>
              </w:rPr>
              <w:t>内存</w:t>
            </w:r>
            <w:r>
              <w:t xml:space="preserve"> / 500 GB SSD</w:t>
            </w:r>
          </w:p>
        </w:tc>
        <w:tc>
          <w:p w14:paraId="51CD2622">
            <w:r>
              <w:rPr>
                <w:rFonts w:hint="eastAsia"/>
              </w:rPr>
              <w:t>部署监控、备份、巡检、告警</w:t>
            </w:r>
          </w:p>
        </w:tc>
      </w:tr>
      <w:tr w14:paraId="1572F2EF">
        <w:tc>
          <w:p w14:paraId="3E0727FB">
            <w:r>
              <w:rPr>
                <w:rFonts w:hint="eastAsia"/>
              </w:rPr>
              <w:t>存储</w:t>
            </w:r>
          </w:p>
        </w:tc>
        <w:tc>
          <w:p w14:paraId="4803F638">
            <w:r>
              <w:rPr>
                <w:rFonts w:hint="eastAsia"/>
              </w:rPr>
              <w:t>备份归档存储</w:t>
            </w:r>
          </w:p>
        </w:tc>
        <w:tc>
          <w:p w14:paraId="761FD077">
            <w:pPr>
              <w:jc w:val="right"/>
            </w:pPr>
            <w:r>
              <w:t xml:space="preserve">1 </w:t>
            </w:r>
            <w:r>
              <w:rPr>
                <w:rFonts w:hint="eastAsia"/>
              </w:rPr>
              <w:t>套</w:t>
            </w:r>
          </w:p>
        </w:tc>
        <w:tc>
          <w:p w14:paraId="6680995C">
            <w:r>
              <w:rPr>
                <w:rFonts w:hint="eastAsia"/>
              </w:rPr>
              <w:t>可用空间</w:t>
            </w:r>
            <w:r>
              <w:t xml:space="preserve"> 4 TB </w:t>
            </w:r>
            <w:r>
              <w:rPr>
                <w:rFonts w:hint="eastAsia"/>
              </w:rPr>
              <w:t>至</w:t>
            </w:r>
            <w:r>
              <w:t xml:space="preserve"> 6 TB</w:t>
            </w:r>
          </w:p>
        </w:tc>
        <w:tc>
          <w:p w14:paraId="794DD1E9">
            <w:r>
              <w:rPr>
                <w:rFonts w:hint="eastAsia"/>
              </w:rPr>
              <w:t>存放备份、WAL、恢复校验副本</w:t>
            </w:r>
          </w:p>
        </w:tc>
      </w:tr>
      <w:tr w14:paraId="6750AACD">
        <w:tc>
          <w:p w14:paraId="4B7E1760">
            <w:r>
              <w:rPr>
                <w:rFonts w:hint="eastAsia"/>
              </w:rPr>
              <w:t>网络</w:t>
            </w:r>
          </w:p>
        </w:tc>
        <w:tc>
          <w:p w14:paraId="05EEFF0A">
            <w:r>
              <w:rPr>
                <w:rFonts w:hint="eastAsia"/>
              </w:rPr>
              <w:t>主备复制链路</w:t>
            </w:r>
          </w:p>
        </w:tc>
        <w:tc>
          <w:p w14:paraId="46D07571">
            <w:pPr>
              <w:jc w:val="right"/>
            </w:pPr>
            <w:r>
              <w:t xml:space="preserve">1 </w:t>
            </w:r>
            <w:r>
              <w:rPr>
                <w:rFonts w:hint="eastAsia"/>
              </w:rPr>
              <w:t>组</w:t>
            </w:r>
          </w:p>
        </w:tc>
        <w:tc>
          <w:p w14:paraId="35CC3CF7">
            <w:r>
              <w:rPr>
                <w:rFonts w:hint="eastAsia"/>
              </w:rPr>
              <w:t>不低于</w:t>
            </w:r>
            <w:r>
              <w:t xml:space="preserve"> 10 Gbps</w:t>
            </w:r>
          </w:p>
        </w:tc>
        <w:tc>
          <w:p w14:paraId="09F43A2F">
            <w:r>
              <w:rPr>
                <w:rFonts w:hint="eastAsia"/>
              </w:rPr>
              <w:t>同城低时延链路，适合同步复制</w:t>
            </w:r>
          </w:p>
        </w:tc>
      </w:tr>
      <w:tr w14:paraId="08C2745C">
        <w:tc>
          <w:p w14:paraId="3144CB47">
            <w:r>
              <w:rPr>
                <w:rFonts w:hint="eastAsia"/>
              </w:rPr>
              <w:t>网络</w:t>
            </w:r>
          </w:p>
        </w:tc>
        <w:tc>
          <w:p w14:paraId="4ADD1835">
            <w:r>
              <w:rPr>
                <w:rFonts w:hint="eastAsia"/>
              </w:rPr>
              <w:t>主备时延要求</w:t>
            </w:r>
          </w:p>
        </w:tc>
        <w:tc>
          <w:p w14:paraId="7C47758E">
            <w:pPr>
              <w:jc w:val="right"/>
            </w:pPr>
            <w:r>
              <w:t xml:space="preserve">1 </w:t>
            </w:r>
            <w:r>
              <w:rPr>
                <w:rFonts w:hint="eastAsia"/>
              </w:rPr>
              <w:t>项</w:t>
            </w:r>
          </w:p>
        </w:tc>
        <w:tc>
          <w:p w14:paraId="57930B7C">
            <w:r>
              <w:rPr>
                <w:rFonts w:hint="eastAsia"/>
              </w:rPr>
              <w:t>建议低于</w:t>
            </w:r>
            <w:r>
              <w:t xml:space="preserve"> 2 ms</w:t>
            </w:r>
          </w:p>
        </w:tc>
        <w:tc>
          <w:p w14:paraId="4B6B7FFE">
            <w:r>
              <w:rPr>
                <w:rFonts w:hint="eastAsia"/>
              </w:rPr>
              <w:t>支撑主备同步与快速切换</w:t>
            </w:r>
          </w:p>
        </w:tc>
      </w:tr>
      <w:tr w14:paraId="0853E90C">
        <w:tc>
          <w:p w14:paraId="360A00FA">
            <w:r>
              <w:rPr>
                <w:rFonts w:hint="eastAsia"/>
              </w:rPr>
              <w:t>网络</w:t>
            </w:r>
          </w:p>
        </w:tc>
        <w:tc>
          <w:p w14:paraId="39B7FB0E">
            <w:r>
              <w:rPr>
                <w:rFonts w:hint="eastAsia"/>
              </w:rPr>
              <w:t>业务接入地址</w:t>
            </w:r>
          </w:p>
        </w:tc>
        <w:tc>
          <w:p w14:paraId="3B050098">
            <w:pPr>
              <w:jc w:val="right"/>
            </w:pPr>
            <w:r>
              <w:t xml:space="preserve">1 </w:t>
            </w:r>
            <w:r>
              <w:rPr>
                <w:rFonts w:hint="eastAsia"/>
              </w:rPr>
              <w:t>组</w:t>
            </w:r>
          </w:p>
        </w:tc>
        <w:tc>
          <w:p w14:paraId="1F8E435D">
            <w:r>
              <w:rPr>
                <w:rFonts w:hint="eastAsia"/>
              </w:rPr>
              <w:t>统一数据库代理地址</w:t>
            </w:r>
          </w:p>
        </w:tc>
        <w:tc>
          <w:p w14:paraId="13829AF9">
            <w:r>
              <w:rPr>
                <w:rFonts w:hint="eastAsia"/>
              </w:rPr>
              <w:t>应用系统通过代理地址访问</w:t>
            </w:r>
          </w:p>
        </w:tc>
      </w:tr>
      <w:tr w14:paraId="51E54FFF">
        <w:tc>
          <w:p w14:paraId="40178384">
            <w:r>
              <w:rPr>
                <w:rFonts w:hint="eastAsia"/>
              </w:rPr>
              <w:t>软件</w:t>
            </w:r>
          </w:p>
        </w:tc>
        <w:tc>
          <w:p w14:paraId="2EEAB766">
            <w:r>
              <w:t>PostgreSQL 16</w:t>
            </w:r>
          </w:p>
        </w:tc>
        <w:tc>
          <w:p w14:paraId="07CBB904">
            <w:pPr>
              <w:jc w:val="right"/>
            </w:pPr>
            <w:r>
              <w:t xml:space="preserve">2 </w:t>
            </w:r>
            <w:r>
              <w:rPr>
                <w:rFonts w:hint="eastAsia"/>
              </w:rPr>
              <w:t>套实例</w:t>
            </w:r>
          </w:p>
        </w:tc>
        <w:tc>
          <w:p w14:paraId="7AF4E287">
            <w:r>
              <w:rPr>
                <w:rFonts w:hint="eastAsia"/>
              </w:rPr>
              <w:t>主库</w:t>
            </w:r>
            <w:r>
              <w:t xml:space="preserve"> 1 </w:t>
            </w:r>
            <w:r>
              <w:rPr>
                <w:rFonts w:hint="eastAsia"/>
              </w:rPr>
              <w:t>套，热备库</w:t>
            </w:r>
            <w:r>
              <w:t xml:space="preserve"> 1 </w:t>
            </w:r>
            <w:r>
              <w:rPr>
                <w:rFonts w:hint="eastAsia"/>
              </w:rPr>
              <w:t>套</w:t>
            </w:r>
          </w:p>
        </w:tc>
        <w:tc>
          <w:p w14:paraId="00FA730E">
            <w:r>
              <w:rPr>
                <w:rFonts w:hint="eastAsia"/>
              </w:rPr>
              <w:t>构建正式生产主备体系</w:t>
            </w:r>
          </w:p>
        </w:tc>
      </w:tr>
      <w:tr w14:paraId="25D0D662">
        <w:tc>
          <w:p w14:paraId="543594FA">
            <w:r>
              <w:rPr>
                <w:rFonts w:hint="eastAsia"/>
              </w:rPr>
              <w:t>软件</w:t>
            </w:r>
          </w:p>
        </w:tc>
        <w:tc>
          <w:p w14:paraId="4D06A8B0">
            <w:r>
              <w:t>PgBouncer</w:t>
            </w:r>
          </w:p>
        </w:tc>
        <w:tc>
          <w:p w14:paraId="6EF32989">
            <w:pPr>
              <w:jc w:val="right"/>
            </w:pPr>
            <w:r>
              <w:t xml:space="preserve">1 </w:t>
            </w:r>
            <w:r>
              <w:rPr>
                <w:rFonts w:hint="eastAsia"/>
              </w:rPr>
              <w:t>套</w:t>
            </w:r>
          </w:p>
        </w:tc>
        <w:tc>
          <w:p w14:paraId="20EDB2F1">
            <w:r>
              <w:rPr>
                <w:rFonts w:hint="eastAsia"/>
              </w:rPr>
              <w:t>连接池代理</w:t>
            </w:r>
          </w:p>
        </w:tc>
        <w:tc>
          <w:p w14:paraId="0EFA80F2">
            <w:r>
              <w:rPr>
                <w:rFonts w:hint="eastAsia"/>
              </w:rPr>
              <w:t>控制连接数并稳定应用连接</w:t>
            </w:r>
          </w:p>
        </w:tc>
      </w:tr>
      <w:tr w14:paraId="78A38F76">
        <w:tc>
          <w:p w14:paraId="310DDF1E">
            <w:r>
              <w:rPr>
                <w:rFonts w:hint="eastAsia"/>
              </w:rPr>
              <w:t>软件</w:t>
            </w:r>
          </w:p>
        </w:tc>
        <w:tc>
          <w:p w14:paraId="58B1FB07">
            <w:r>
              <w:t>HAProxy</w:t>
            </w:r>
          </w:p>
        </w:tc>
        <w:tc>
          <w:p w14:paraId="3D64ACD9">
            <w:pPr>
              <w:jc w:val="right"/>
            </w:pPr>
            <w:r>
              <w:t xml:space="preserve">1 </w:t>
            </w:r>
            <w:r>
              <w:rPr>
                <w:rFonts w:hint="eastAsia"/>
              </w:rPr>
              <w:t>套</w:t>
            </w:r>
          </w:p>
        </w:tc>
        <w:tc>
          <w:p w14:paraId="34D6884A">
            <w:r>
              <w:rPr>
                <w:rFonts w:hint="eastAsia"/>
              </w:rPr>
              <w:t>数据库入口代理</w:t>
            </w:r>
          </w:p>
        </w:tc>
        <w:tc>
          <w:p w14:paraId="21F228DC">
            <w:r>
              <w:rPr>
                <w:rFonts w:hint="eastAsia"/>
              </w:rPr>
              <w:t>承担统一读写入口切换</w:t>
            </w:r>
          </w:p>
        </w:tc>
      </w:tr>
      <w:tr w14:paraId="0B3AB57D">
        <w:tc>
          <w:p w14:paraId="5E13D11F">
            <w:r>
              <w:rPr>
                <w:rFonts w:hint="eastAsia"/>
              </w:rPr>
              <w:t>软件</w:t>
            </w:r>
          </w:p>
        </w:tc>
        <w:tc>
          <w:p w14:paraId="5CE33703">
            <w:r>
              <w:t>Patroni</w:t>
            </w:r>
          </w:p>
        </w:tc>
        <w:tc>
          <w:p w14:paraId="4C96BF35">
            <w:pPr>
              <w:jc w:val="right"/>
            </w:pPr>
            <w:r>
              <w:t xml:space="preserve">1 </w:t>
            </w:r>
            <w:r>
              <w:rPr>
                <w:rFonts w:hint="eastAsia"/>
              </w:rPr>
              <w:t>套</w:t>
            </w:r>
          </w:p>
        </w:tc>
        <w:tc>
          <w:p w14:paraId="32DCDABD">
            <w:r>
              <w:rPr>
                <w:rFonts w:hint="eastAsia"/>
              </w:rPr>
              <w:t>高可用管理组件</w:t>
            </w:r>
          </w:p>
        </w:tc>
        <w:tc>
          <w:p w14:paraId="145F85A3">
            <w:r>
              <w:rPr>
                <w:rFonts w:hint="eastAsia"/>
              </w:rPr>
              <w:t>管理主备状态、提升与故障切换</w:t>
            </w:r>
          </w:p>
        </w:tc>
      </w:tr>
      <w:bookmarkEnd w:id="32"/>
    </w:tbl>
    <w:p w14:paraId="0CF7706E">
      <w:pPr>
        <w:pStyle w:val="4"/>
      </w:pPr>
      <w:bookmarkStart w:id="33" w:name="方案-c正式生产增强方案审批汇总表"/>
      <w:r>
        <w:rPr>
          <w:rFonts w:hint="eastAsia"/>
        </w:rPr>
        <w:t>方案</w:t>
      </w:r>
      <w:r>
        <w:t xml:space="preserve"> </w:t>
      </w:r>
      <w:r>
        <w:rPr>
          <w:rFonts w:hint="eastAsia"/>
        </w:rPr>
        <w:t>C：正式生产增强方案审批汇总表</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794"/>
        <w:gridCol w:w="2393"/>
        <w:gridCol w:w="1794"/>
        <w:gridCol w:w="1794"/>
      </w:tblGrid>
      <w:tr w14:paraId="35891661">
        <w:trPr>
          <w:tblHeader/>
        </w:trPr>
        <w:tc>
          <w:p w14:paraId="34550A6E">
            <w:r>
              <w:rPr>
                <w:rFonts w:hint="eastAsia"/>
              </w:rPr>
              <w:t>类别</w:t>
            </w:r>
          </w:p>
        </w:tc>
        <w:tc>
          <w:p w14:paraId="551EFF08">
            <w:r>
              <w:rPr>
                <w:rFonts w:hint="eastAsia"/>
              </w:rPr>
              <w:t>资源项</w:t>
            </w:r>
          </w:p>
        </w:tc>
        <w:tc>
          <w:p w14:paraId="36D755C2">
            <w:pPr>
              <w:jc w:val="right"/>
            </w:pPr>
            <w:r>
              <w:rPr>
                <w:rFonts w:hint="eastAsia"/>
              </w:rPr>
              <w:t>数量</w:t>
            </w:r>
          </w:p>
        </w:tc>
        <w:tc>
          <w:p w14:paraId="04D0EC57">
            <w:r>
              <w:rPr>
                <w:rFonts w:hint="eastAsia"/>
              </w:rPr>
              <w:t>单项建议规格</w:t>
            </w:r>
          </w:p>
        </w:tc>
        <w:tc>
          <w:p w14:paraId="23B3E233">
            <w:r>
              <w:rPr>
                <w:rFonts w:hint="eastAsia"/>
              </w:rPr>
              <w:t>审批说明</w:t>
            </w:r>
          </w:p>
        </w:tc>
      </w:tr>
      <w:tr w14:paraId="22E176E0">
        <w:tc>
          <w:p w14:paraId="0A89BD58">
            <w:r>
              <w:rPr>
                <w:rFonts w:hint="eastAsia"/>
              </w:rPr>
              <w:t>服务器</w:t>
            </w:r>
          </w:p>
        </w:tc>
        <w:tc>
          <w:p w14:paraId="4DE0124D">
            <w:r>
              <w:rPr>
                <w:rFonts w:hint="eastAsia"/>
              </w:rPr>
              <w:t>主库服务器</w:t>
            </w:r>
          </w:p>
        </w:tc>
        <w:tc>
          <w:p w14:paraId="460CCAB3">
            <w:pPr>
              <w:jc w:val="right"/>
            </w:pPr>
            <w:r>
              <w:t xml:space="preserve">1 </w:t>
            </w:r>
            <w:r>
              <w:rPr>
                <w:rFonts w:hint="eastAsia"/>
              </w:rPr>
              <w:t>台</w:t>
            </w:r>
          </w:p>
        </w:tc>
        <w:tc>
          <w:p w14:paraId="19B716C1">
            <w:r>
              <w:t xml:space="preserve">16 </w:t>
            </w:r>
            <w:r>
              <w:rPr>
                <w:rFonts w:hint="eastAsia"/>
              </w:rPr>
              <w:t>核</w:t>
            </w:r>
            <w:r>
              <w:t xml:space="preserve"> CPU / 64 GB </w:t>
            </w:r>
            <w:r>
              <w:rPr>
                <w:rFonts w:hint="eastAsia"/>
              </w:rPr>
              <w:t>内存</w:t>
            </w:r>
            <w:r>
              <w:t xml:space="preserve"> / 2 TB NVMe SSD</w:t>
            </w:r>
          </w:p>
        </w:tc>
        <w:tc>
          <w:p w14:paraId="75E2B183">
            <w:r>
              <w:rPr>
                <w:rFonts w:hint="eastAsia"/>
              </w:rPr>
              <w:t>部署在生产中心</w:t>
            </w:r>
          </w:p>
        </w:tc>
      </w:tr>
      <w:tr w14:paraId="305F0DDC">
        <w:tc>
          <w:p w14:paraId="05163B64">
            <w:r>
              <w:rPr>
                <w:rFonts w:hint="eastAsia"/>
              </w:rPr>
              <w:t>服务器</w:t>
            </w:r>
          </w:p>
        </w:tc>
        <w:tc>
          <w:p w14:paraId="5823D48A">
            <w:r>
              <w:rPr>
                <w:rFonts w:hint="eastAsia"/>
              </w:rPr>
              <w:t>同城同步热备服务器</w:t>
            </w:r>
          </w:p>
        </w:tc>
        <w:tc>
          <w:p w14:paraId="32220A89">
            <w:pPr>
              <w:jc w:val="right"/>
            </w:pPr>
            <w:r>
              <w:t xml:space="preserve">1 </w:t>
            </w:r>
            <w:r>
              <w:rPr>
                <w:rFonts w:hint="eastAsia"/>
              </w:rPr>
              <w:t>台</w:t>
            </w:r>
          </w:p>
        </w:tc>
        <w:tc>
          <w:p w14:paraId="6FC40858">
            <w:r>
              <w:t xml:space="preserve">16 </w:t>
            </w:r>
            <w:r>
              <w:rPr>
                <w:rFonts w:hint="eastAsia"/>
              </w:rPr>
              <w:t>核</w:t>
            </w:r>
            <w:r>
              <w:t xml:space="preserve"> CPU / 64 GB </w:t>
            </w:r>
            <w:r>
              <w:rPr>
                <w:rFonts w:hint="eastAsia"/>
              </w:rPr>
              <w:t>内存</w:t>
            </w:r>
            <w:r>
              <w:t xml:space="preserve"> / 2 TB NVMe SSD</w:t>
            </w:r>
          </w:p>
        </w:tc>
        <w:tc>
          <w:p w14:paraId="01B4D24C">
            <w:r>
              <w:rPr>
                <w:rFonts w:hint="eastAsia"/>
              </w:rPr>
              <w:t>承担正式主备切换</w:t>
            </w:r>
          </w:p>
        </w:tc>
      </w:tr>
      <w:tr w14:paraId="0EE453FD">
        <w:tc>
          <w:p w14:paraId="0FA1131E">
            <w:r>
              <w:rPr>
                <w:rFonts w:hint="eastAsia"/>
              </w:rPr>
              <w:t>服务器</w:t>
            </w:r>
          </w:p>
        </w:tc>
        <w:tc>
          <w:p w14:paraId="3DDD3387">
            <w:r>
              <w:rPr>
                <w:rFonts w:hint="eastAsia"/>
              </w:rPr>
              <w:t>异地灾备服务器</w:t>
            </w:r>
          </w:p>
        </w:tc>
        <w:tc>
          <w:p w14:paraId="7001B605">
            <w:pPr>
              <w:jc w:val="right"/>
            </w:pPr>
            <w:r>
              <w:t xml:space="preserve">1 </w:t>
            </w:r>
            <w:r>
              <w:rPr>
                <w:rFonts w:hint="eastAsia"/>
              </w:rPr>
              <w:t>台</w:t>
            </w:r>
          </w:p>
        </w:tc>
        <w:tc>
          <w:p w14:paraId="7550F889">
            <w:r>
              <w:t xml:space="preserve">8 </w:t>
            </w:r>
            <w:r>
              <w:rPr>
                <w:rFonts w:hint="eastAsia"/>
              </w:rPr>
              <w:t>至</w:t>
            </w:r>
            <w:r>
              <w:t xml:space="preserve"> 12 </w:t>
            </w:r>
            <w:r>
              <w:rPr>
                <w:rFonts w:hint="eastAsia"/>
              </w:rPr>
              <w:t>核</w:t>
            </w:r>
            <w:r>
              <w:t xml:space="preserve"> CPU / 32 </w:t>
            </w:r>
            <w:r>
              <w:rPr>
                <w:rFonts w:hint="eastAsia"/>
              </w:rPr>
              <w:t>至</w:t>
            </w:r>
            <w:r>
              <w:t xml:space="preserve"> 48 GB </w:t>
            </w:r>
            <w:r>
              <w:rPr>
                <w:rFonts w:hint="eastAsia"/>
              </w:rPr>
              <w:t>内存</w:t>
            </w:r>
            <w:r>
              <w:t xml:space="preserve"> / 2 TB NVMe SSD</w:t>
            </w:r>
          </w:p>
        </w:tc>
        <w:tc>
          <w:p w14:paraId="7287C99B">
            <w:r>
              <w:rPr>
                <w:rFonts w:hint="eastAsia"/>
              </w:rPr>
              <w:t>承担区域级灾难恢复</w:t>
            </w:r>
          </w:p>
        </w:tc>
      </w:tr>
      <w:tr w14:paraId="620740E1">
        <w:tc>
          <w:p w14:paraId="0EAA9E89">
            <w:r>
              <w:rPr>
                <w:rFonts w:hint="eastAsia"/>
              </w:rPr>
              <w:t>服务器</w:t>
            </w:r>
          </w:p>
        </w:tc>
        <w:tc>
          <w:p w14:paraId="196ACF9B">
            <w:r>
              <w:rPr>
                <w:rFonts w:hint="eastAsia"/>
              </w:rPr>
              <w:t>管理与监控节点</w:t>
            </w:r>
          </w:p>
        </w:tc>
        <w:tc>
          <w:p w14:paraId="6CEBAF00">
            <w:pPr>
              <w:jc w:val="right"/>
            </w:pPr>
            <w:r>
              <w:t xml:space="preserve">1 </w:t>
            </w:r>
            <w:r>
              <w:rPr>
                <w:rFonts w:hint="eastAsia"/>
              </w:rPr>
              <w:t>台</w:t>
            </w:r>
          </w:p>
        </w:tc>
        <w:tc>
          <w:p w14:paraId="2112A223">
            <w:r>
              <w:t xml:space="preserve">8 </w:t>
            </w:r>
            <w:r>
              <w:rPr>
                <w:rFonts w:hint="eastAsia"/>
              </w:rPr>
              <w:t>核</w:t>
            </w:r>
            <w:r>
              <w:t xml:space="preserve"> CPU / 16 GB </w:t>
            </w:r>
            <w:r>
              <w:rPr>
                <w:rFonts w:hint="eastAsia"/>
              </w:rPr>
              <w:t>内存</w:t>
            </w:r>
            <w:r>
              <w:t xml:space="preserve"> / 500 GB SSD</w:t>
            </w:r>
          </w:p>
        </w:tc>
        <w:tc>
          <w:p w14:paraId="67762ACF">
            <w:r>
              <w:rPr>
                <w:rFonts w:hint="eastAsia"/>
              </w:rPr>
              <w:t>部署监控、备份、审计工具</w:t>
            </w:r>
          </w:p>
        </w:tc>
      </w:tr>
      <w:tr w14:paraId="27A04E86">
        <w:tc>
          <w:p w14:paraId="680542AA">
            <w:r>
              <w:rPr>
                <w:rFonts w:hint="eastAsia"/>
              </w:rPr>
              <w:t>存储</w:t>
            </w:r>
          </w:p>
        </w:tc>
        <w:tc>
          <w:p w14:paraId="01A99116">
            <w:r>
              <w:rPr>
                <w:rFonts w:hint="eastAsia"/>
              </w:rPr>
              <w:t>集中备份归档存储</w:t>
            </w:r>
          </w:p>
        </w:tc>
        <w:tc>
          <w:p w14:paraId="09D4E7F0">
            <w:pPr>
              <w:jc w:val="right"/>
            </w:pPr>
            <w:r>
              <w:t xml:space="preserve">1 </w:t>
            </w:r>
            <w:r>
              <w:rPr>
                <w:rFonts w:hint="eastAsia"/>
              </w:rPr>
              <w:t>套</w:t>
            </w:r>
          </w:p>
        </w:tc>
        <w:tc>
          <w:p w14:paraId="27943404">
            <w:r>
              <w:rPr>
                <w:rFonts w:hint="eastAsia"/>
              </w:rPr>
              <w:t>可用空间</w:t>
            </w:r>
            <w:r>
              <w:t xml:space="preserve"> 6 TB </w:t>
            </w:r>
            <w:r>
              <w:rPr>
                <w:rFonts w:hint="eastAsia"/>
              </w:rPr>
              <w:t>起</w:t>
            </w:r>
          </w:p>
        </w:tc>
        <w:tc>
          <w:p w14:paraId="5357EA43">
            <w:r>
              <w:rPr>
                <w:rFonts w:hint="eastAsia"/>
              </w:rPr>
              <w:t>保存全量备份、WAL、演练副本</w:t>
            </w:r>
          </w:p>
        </w:tc>
      </w:tr>
      <w:tr w14:paraId="0EB56102">
        <w:tc>
          <w:p w14:paraId="004B01A6">
            <w:r>
              <w:rPr>
                <w:rFonts w:hint="eastAsia"/>
              </w:rPr>
              <w:t>网络</w:t>
            </w:r>
          </w:p>
        </w:tc>
        <w:tc>
          <w:p w14:paraId="276C0A74">
            <w:r>
              <w:rPr>
                <w:rFonts w:hint="eastAsia"/>
              </w:rPr>
              <w:t>同城复制链路</w:t>
            </w:r>
          </w:p>
        </w:tc>
        <w:tc>
          <w:p w14:paraId="5C9A7349">
            <w:pPr>
              <w:jc w:val="right"/>
            </w:pPr>
            <w:r>
              <w:t xml:space="preserve">1 </w:t>
            </w:r>
            <w:r>
              <w:rPr>
                <w:rFonts w:hint="eastAsia"/>
              </w:rPr>
              <w:t>组</w:t>
            </w:r>
          </w:p>
        </w:tc>
        <w:tc>
          <w:p w14:paraId="39E5E4FF">
            <w:r>
              <w:rPr>
                <w:rFonts w:hint="eastAsia"/>
              </w:rPr>
              <w:t>不低于</w:t>
            </w:r>
            <w:r>
              <w:t xml:space="preserve"> 10 Gbps</w:t>
            </w:r>
          </w:p>
        </w:tc>
        <w:tc>
          <w:p w14:paraId="7F4397AF">
            <w:r>
              <w:rPr>
                <w:rFonts w:hint="eastAsia"/>
              </w:rPr>
              <w:t>保障同步复制稳定性</w:t>
            </w:r>
          </w:p>
        </w:tc>
      </w:tr>
      <w:tr w14:paraId="671BB6E6">
        <w:tc>
          <w:p w14:paraId="02EFBC18">
            <w:r>
              <w:rPr>
                <w:rFonts w:hint="eastAsia"/>
              </w:rPr>
              <w:t>网络</w:t>
            </w:r>
          </w:p>
        </w:tc>
        <w:tc>
          <w:p w14:paraId="32790BFA">
            <w:r>
              <w:rPr>
                <w:rFonts w:hint="eastAsia"/>
              </w:rPr>
              <w:t>异地复制链路</w:t>
            </w:r>
          </w:p>
        </w:tc>
        <w:tc>
          <w:p w14:paraId="75054F7F">
            <w:pPr>
              <w:jc w:val="right"/>
            </w:pPr>
            <w:r>
              <w:t xml:space="preserve">1 </w:t>
            </w:r>
            <w:r>
              <w:rPr>
                <w:rFonts w:hint="eastAsia"/>
              </w:rPr>
              <w:t>组</w:t>
            </w:r>
          </w:p>
        </w:tc>
        <w:tc>
          <w:p w14:paraId="37C9B5B6">
            <w:r>
              <w:rPr>
                <w:rFonts w:hint="eastAsia"/>
              </w:rPr>
              <w:t>专线或稳定</w:t>
            </w:r>
            <w:r>
              <w:t xml:space="preserve"> VPN</w:t>
            </w:r>
          </w:p>
        </w:tc>
        <w:tc>
          <w:p w14:paraId="398A8A0D">
            <w:r>
              <w:rPr>
                <w:rFonts w:hint="eastAsia"/>
              </w:rPr>
              <w:t>保障异步复制与备份回传</w:t>
            </w:r>
          </w:p>
        </w:tc>
      </w:tr>
      <w:tr w14:paraId="03C1294B">
        <w:tc>
          <w:p w14:paraId="08233163">
            <w:r>
              <w:rPr>
                <w:rFonts w:hint="eastAsia"/>
              </w:rPr>
              <w:t>网络</w:t>
            </w:r>
          </w:p>
        </w:tc>
        <w:tc>
          <w:p w14:paraId="529BDF0A">
            <w:r>
              <w:rPr>
                <w:rFonts w:hint="eastAsia"/>
              </w:rPr>
              <w:t>业务接入地址</w:t>
            </w:r>
          </w:p>
        </w:tc>
        <w:tc>
          <w:p w14:paraId="40A01519">
            <w:pPr>
              <w:jc w:val="right"/>
            </w:pPr>
            <w:r>
              <w:t xml:space="preserve">1 </w:t>
            </w:r>
            <w:r>
              <w:rPr>
                <w:rFonts w:hint="eastAsia"/>
              </w:rPr>
              <w:t>组</w:t>
            </w:r>
          </w:p>
        </w:tc>
        <w:tc>
          <w:p w14:paraId="7EA75228">
            <w:r>
              <w:rPr>
                <w:rFonts w:hint="eastAsia"/>
              </w:rPr>
              <w:t>统一数据库代理地址</w:t>
            </w:r>
          </w:p>
        </w:tc>
        <w:tc>
          <w:p w14:paraId="3EE47DBF">
            <w:r>
              <w:rPr>
                <w:rFonts w:hint="eastAsia"/>
              </w:rPr>
              <w:t>应用不直接访问数据库节点</w:t>
            </w:r>
          </w:p>
        </w:tc>
      </w:tr>
      <w:tr w14:paraId="3426F458">
        <w:tc>
          <w:p w14:paraId="7F0A3BAD">
            <w:r>
              <w:rPr>
                <w:rFonts w:hint="eastAsia"/>
              </w:rPr>
              <w:t>软件</w:t>
            </w:r>
          </w:p>
        </w:tc>
        <w:tc>
          <w:p w14:paraId="4E1D795A">
            <w:r>
              <w:t>PostgreSQL 16</w:t>
            </w:r>
          </w:p>
        </w:tc>
        <w:tc>
          <w:p w14:paraId="7AE33888">
            <w:pPr>
              <w:jc w:val="right"/>
            </w:pPr>
            <w:r>
              <w:t xml:space="preserve">3 </w:t>
            </w:r>
            <w:r>
              <w:rPr>
                <w:rFonts w:hint="eastAsia"/>
              </w:rPr>
              <w:t>套实例</w:t>
            </w:r>
          </w:p>
        </w:tc>
        <w:tc>
          <w:p w14:paraId="1A182CC7">
            <w:r>
              <w:rPr>
                <w:rFonts w:hint="eastAsia"/>
              </w:rPr>
              <w:t>主库</w:t>
            </w:r>
            <w:r>
              <w:t xml:space="preserve"> 1 </w:t>
            </w:r>
            <w:r>
              <w:rPr>
                <w:rFonts w:hint="eastAsia"/>
              </w:rPr>
              <w:t>套，同城热备</w:t>
            </w:r>
            <w:r>
              <w:t xml:space="preserve"> 1 </w:t>
            </w:r>
            <w:r>
              <w:rPr>
                <w:rFonts w:hint="eastAsia"/>
              </w:rPr>
              <w:t>套，异地灾备</w:t>
            </w:r>
            <w:r>
              <w:t xml:space="preserve"> 1 </w:t>
            </w:r>
            <w:r>
              <w:rPr>
                <w:rFonts w:hint="eastAsia"/>
              </w:rPr>
              <w:t>套</w:t>
            </w:r>
          </w:p>
        </w:tc>
        <w:tc>
          <w:p w14:paraId="4AC13DE5">
            <w:r>
              <w:rPr>
                <w:rFonts w:hint="eastAsia"/>
              </w:rPr>
              <w:t>构建高可用与灾备双层体系</w:t>
            </w:r>
          </w:p>
        </w:tc>
      </w:tr>
      <w:tr w14:paraId="60474C7F">
        <w:tc>
          <w:p w14:paraId="75DBFEC4">
            <w:r>
              <w:rPr>
                <w:rFonts w:hint="eastAsia"/>
              </w:rPr>
              <w:t>软件</w:t>
            </w:r>
          </w:p>
        </w:tc>
        <w:tc>
          <w:p w14:paraId="0EE00340">
            <w:r>
              <w:t>PgBouncer</w:t>
            </w:r>
          </w:p>
        </w:tc>
        <w:tc>
          <w:p w14:paraId="4C8D2F02">
            <w:pPr>
              <w:jc w:val="right"/>
            </w:pPr>
            <w:r>
              <w:t xml:space="preserve">1 </w:t>
            </w:r>
            <w:r>
              <w:rPr>
                <w:rFonts w:hint="eastAsia"/>
              </w:rPr>
              <w:t>套</w:t>
            </w:r>
          </w:p>
        </w:tc>
        <w:tc>
          <w:p w14:paraId="59832EAA">
            <w:r>
              <w:rPr>
                <w:rFonts w:hint="eastAsia"/>
              </w:rPr>
              <w:t>连接池代理</w:t>
            </w:r>
          </w:p>
        </w:tc>
        <w:tc>
          <w:p w14:paraId="4E869F90">
            <w:r>
              <w:rPr>
                <w:rFonts w:hint="eastAsia"/>
              </w:rPr>
              <w:t>稳定应用接入层</w:t>
            </w:r>
          </w:p>
        </w:tc>
      </w:tr>
      <w:tr w14:paraId="7618F309">
        <w:tc>
          <w:p w14:paraId="58FEF404">
            <w:r>
              <w:rPr>
                <w:rFonts w:hint="eastAsia"/>
              </w:rPr>
              <w:t>软件</w:t>
            </w:r>
          </w:p>
        </w:tc>
        <w:tc>
          <w:p w14:paraId="77462221">
            <w:r>
              <w:t>HAProxy</w:t>
            </w:r>
          </w:p>
        </w:tc>
        <w:tc>
          <w:p w14:paraId="10280670">
            <w:pPr>
              <w:jc w:val="right"/>
            </w:pPr>
            <w:r>
              <w:t xml:space="preserve">1 </w:t>
            </w:r>
            <w:r>
              <w:rPr>
                <w:rFonts w:hint="eastAsia"/>
              </w:rPr>
              <w:t>套</w:t>
            </w:r>
          </w:p>
        </w:tc>
        <w:tc>
          <w:p w14:paraId="10D1B4F6">
            <w:r>
              <w:rPr>
                <w:rFonts w:hint="eastAsia"/>
              </w:rPr>
              <w:t>数据库入口代理</w:t>
            </w:r>
          </w:p>
        </w:tc>
        <w:tc>
          <w:p w14:paraId="21819A0B">
            <w:r>
              <w:rPr>
                <w:rFonts w:hint="eastAsia"/>
              </w:rPr>
              <w:t>承担统一流量入口与切换</w:t>
            </w:r>
          </w:p>
        </w:tc>
      </w:tr>
      <w:tr w14:paraId="5377E922">
        <w:tc>
          <w:p w14:paraId="3DCDD1E9">
            <w:r>
              <w:rPr>
                <w:rFonts w:hint="eastAsia"/>
              </w:rPr>
              <w:t>软件</w:t>
            </w:r>
          </w:p>
        </w:tc>
        <w:tc>
          <w:p w14:paraId="398ACBEC">
            <w:r>
              <w:t>Patroni</w:t>
            </w:r>
          </w:p>
        </w:tc>
        <w:tc>
          <w:p w14:paraId="2D52E743">
            <w:pPr>
              <w:jc w:val="right"/>
            </w:pPr>
            <w:r>
              <w:t xml:space="preserve">1 </w:t>
            </w:r>
            <w:r>
              <w:rPr>
                <w:rFonts w:hint="eastAsia"/>
              </w:rPr>
              <w:t>套</w:t>
            </w:r>
          </w:p>
        </w:tc>
        <w:tc>
          <w:p w14:paraId="08A7AE07">
            <w:r>
              <w:rPr>
                <w:rFonts w:hint="eastAsia"/>
              </w:rPr>
              <w:t>高可用管理组件</w:t>
            </w:r>
          </w:p>
        </w:tc>
        <w:tc>
          <w:p w14:paraId="1B2FA791">
            <w:r>
              <w:rPr>
                <w:rFonts w:hint="eastAsia"/>
              </w:rPr>
              <w:t>管理主备状态与故障切换</w:t>
            </w:r>
          </w:p>
        </w:tc>
      </w:tr>
      <w:bookmarkEnd w:id="33"/>
    </w:tbl>
    <w:p w14:paraId="4B86404D">
      <w:pPr>
        <w:pStyle w:val="4"/>
      </w:pPr>
      <w:bookmarkStart w:id="34" w:name="审批建议结论"/>
      <w:r>
        <w:rPr>
          <w:rFonts w:hint="eastAsia"/>
        </w:rPr>
        <w:t>审批建议结论</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0"/>
        <w:gridCol w:w="3190"/>
        <w:gridCol w:w="3190"/>
      </w:tblGrid>
      <w:tr w14:paraId="77FA1359">
        <w:trPr>
          <w:tblHeader/>
        </w:trPr>
        <w:tc>
          <w:p w14:paraId="1F425AAB">
            <w:r>
              <w:rPr>
                <w:rFonts w:hint="eastAsia"/>
              </w:rPr>
              <w:t>审批项</w:t>
            </w:r>
          </w:p>
        </w:tc>
        <w:tc>
          <w:p w14:paraId="654ECFA1">
            <w:r>
              <w:rPr>
                <w:rFonts w:hint="eastAsia"/>
              </w:rPr>
              <w:t>建议结论</w:t>
            </w:r>
          </w:p>
        </w:tc>
        <w:tc>
          <w:p w14:paraId="6EC82328">
            <w:r>
              <w:rPr>
                <w:rFonts w:hint="eastAsia"/>
              </w:rPr>
              <w:t>说明</w:t>
            </w:r>
          </w:p>
        </w:tc>
      </w:tr>
      <w:tr w14:paraId="0A0348DD">
        <w:tc>
          <w:p w14:paraId="42FAFDC6">
            <w:r>
              <w:rPr>
                <w:rFonts w:hint="eastAsia"/>
              </w:rPr>
              <w:t>首选审批方案</w:t>
            </w:r>
          </w:p>
        </w:tc>
        <w:tc>
          <w:p w14:paraId="7C7F78D3">
            <w:r>
              <w:rPr>
                <w:rFonts w:hint="eastAsia"/>
              </w:rPr>
              <w:t>方案</w:t>
            </w:r>
            <w:r>
              <w:t xml:space="preserve"> B</w:t>
            </w:r>
          </w:p>
        </w:tc>
        <w:tc>
          <w:p w14:paraId="005FE1D9">
            <w:r>
              <w:rPr>
                <w:rFonts w:hint="eastAsia"/>
              </w:rPr>
              <w:t>兼顾资源投入、主备切换能力和正式生产可用性</w:t>
            </w:r>
          </w:p>
        </w:tc>
      </w:tr>
      <w:tr w14:paraId="1FD93552">
        <w:tc>
          <w:p w14:paraId="52AF6FA4">
            <w:r>
              <w:rPr>
                <w:rFonts w:hint="eastAsia"/>
              </w:rPr>
              <w:t>最低建设标准</w:t>
            </w:r>
          </w:p>
        </w:tc>
        <w:tc>
          <w:p w14:paraId="7A909850">
            <w:r>
              <w:rPr>
                <w:rFonts w:hint="eastAsia"/>
              </w:rPr>
              <w:t>不低于方案</w:t>
            </w:r>
            <w:r>
              <w:t xml:space="preserve"> A</w:t>
            </w:r>
          </w:p>
        </w:tc>
        <w:tc>
          <w:p w14:paraId="4E548695">
            <w:r>
              <w:rPr>
                <w:rFonts w:hint="eastAsia"/>
              </w:rPr>
              <w:t>至少满足双节点主备与独立备份归档</w:t>
            </w:r>
          </w:p>
        </w:tc>
      </w:tr>
      <w:tr w14:paraId="2C170A0C">
        <w:tc>
          <w:p w14:paraId="4DC49E24">
            <w:r>
              <w:rPr>
                <w:rFonts w:hint="eastAsia"/>
              </w:rPr>
              <w:t>增强建设目标</w:t>
            </w:r>
          </w:p>
        </w:tc>
        <w:tc>
          <w:p w14:paraId="6DA03EFF">
            <w:r>
              <w:rPr>
                <w:rFonts w:hint="eastAsia"/>
              </w:rPr>
              <w:t>方案</w:t>
            </w:r>
            <w:r>
              <w:t xml:space="preserve"> C</w:t>
            </w:r>
          </w:p>
        </w:tc>
        <w:tc>
          <w:p w14:paraId="2A826EE9">
            <w:r>
              <w:rPr>
                <w:rFonts w:hint="eastAsia"/>
              </w:rPr>
              <w:t>适用于要求区域级灾难恢复的正式项目</w:t>
            </w:r>
          </w:p>
        </w:tc>
      </w:tr>
      <w:tr w14:paraId="5550D6A4">
        <w:tc>
          <w:p w14:paraId="084C6A68">
            <w:r>
              <w:rPr>
                <w:rFonts w:hint="eastAsia"/>
              </w:rPr>
              <w:t>备库资源口径</w:t>
            </w:r>
          </w:p>
        </w:tc>
        <w:tc>
          <w:p w14:paraId="282AADA5">
            <w:r>
              <w:rPr>
                <w:rFonts w:hint="eastAsia"/>
              </w:rPr>
              <w:t>存储不低于主库，热备计算资源宜等同主库</w:t>
            </w:r>
          </w:p>
        </w:tc>
        <w:tc>
          <w:p w14:paraId="542BD47F">
            <w:r>
              <w:rPr>
                <w:rFonts w:hint="eastAsia"/>
              </w:rPr>
              <w:t>避免切换后承载不足</w:t>
            </w:r>
          </w:p>
        </w:tc>
      </w:tr>
      <w:tr w14:paraId="0A353DD7">
        <w:tc>
          <w:p w14:paraId="5EC57B15">
            <w:r>
              <w:rPr>
                <w:rFonts w:hint="eastAsia"/>
              </w:rPr>
              <w:t>接入方式</w:t>
            </w:r>
          </w:p>
        </w:tc>
        <w:tc>
          <w:p w14:paraId="4A1461B8">
            <w:r>
              <w:rPr>
                <w:rFonts w:hint="eastAsia"/>
              </w:rPr>
              <w:t>统一数据库代理地址</w:t>
            </w:r>
          </w:p>
        </w:tc>
        <w:tc>
          <w:p w14:paraId="16500F2C">
            <w:r>
              <w:rPr>
                <w:rFonts w:hint="eastAsia"/>
              </w:rPr>
              <w:t>禁止应用直连数据库物理</w:t>
            </w:r>
            <w:r>
              <w:t xml:space="preserve"> IP</w:t>
            </w:r>
          </w:p>
        </w:tc>
      </w:tr>
      <w:bookmarkEnd w:id="30"/>
      <w:bookmarkEnd w:id="34"/>
    </w:tbl>
    <w:p w14:paraId="434E071E">
      <w:pPr>
        <w:pStyle w:val="3"/>
      </w:pPr>
      <w:bookmarkStart w:id="35" w:name="_Toc553868705"/>
      <w:bookmarkStart w:id="36" w:name="详细资源申请清单"/>
      <w:r>
        <w:rPr>
          <w:rFonts w:hint="eastAsia"/>
        </w:rPr>
        <w:t>详细资源申请清单</w:t>
      </w:r>
      <w:bookmarkEnd w:id="35"/>
    </w:p>
    <w:p w14:paraId="2F23ED32">
      <w:r>
        <w:rPr>
          <w:rFonts w:hint="eastAsia"/>
        </w:rPr>
        <w:t>以下清单以单套生产系统为口径，作为资源申请参考基线。实际规模可根据并发量、数据量和保留周期进一步调整。</w:t>
      </w:r>
    </w:p>
    <w:p w14:paraId="7BDF66D9">
      <w:pPr>
        <w:pStyle w:val="4"/>
      </w:pPr>
      <w:bookmarkStart w:id="37" w:name="方案-a-资源申请清单"/>
      <w:r>
        <w:rPr>
          <w:rFonts w:hint="eastAsia"/>
        </w:rPr>
        <w:t>方案</w:t>
      </w:r>
      <w:r>
        <w:t xml:space="preserve"> A </w:t>
      </w:r>
      <w:r>
        <w:rPr>
          <w:rFonts w:hint="eastAsia"/>
        </w:rPr>
        <w:t>资源申请清单</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8"/>
        <w:gridCol w:w="2945"/>
        <w:gridCol w:w="2208"/>
        <w:gridCol w:w="2208"/>
      </w:tblGrid>
      <w:tr w14:paraId="275A03EF">
        <w:trPr>
          <w:tblHeader/>
        </w:trPr>
        <w:tc>
          <w:p w14:paraId="3C6CB3AC">
            <w:r>
              <w:rPr>
                <w:rFonts w:hint="eastAsia"/>
              </w:rPr>
              <w:t>资源类型</w:t>
            </w:r>
          </w:p>
        </w:tc>
        <w:tc>
          <w:p w14:paraId="1C2450EF">
            <w:pPr>
              <w:jc w:val="right"/>
            </w:pPr>
            <w:r>
              <w:rPr>
                <w:rFonts w:hint="eastAsia"/>
              </w:rPr>
              <w:t>数量</w:t>
            </w:r>
          </w:p>
        </w:tc>
        <w:tc>
          <w:p w14:paraId="36B2883A">
            <w:r>
              <w:rPr>
                <w:rFonts w:hint="eastAsia"/>
              </w:rPr>
              <w:t>单节点建议配置</w:t>
            </w:r>
          </w:p>
        </w:tc>
        <w:tc>
          <w:p w14:paraId="0B2F93EF">
            <w:r>
              <w:rPr>
                <w:rFonts w:hint="eastAsia"/>
              </w:rPr>
              <w:t>说明</w:t>
            </w:r>
          </w:p>
        </w:tc>
      </w:tr>
      <w:tr w14:paraId="7DF87A1D">
        <w:tc>
          <w:p w14:paraId="3DFB6A84">
            <w:r>
              <w:rPr>
                <w:rFonts w:hint="eastAsia"/>
              </w:rPr>
              <w:t>主库服务器</w:t>
            </w:r>
          </w:p>
        </w:tc>
        <w:tc>
          <w:p w14:paraId="1F138E3A">
            <w:pPr>
              <w:jc w:val="right"/>
            </w:pPr>
            <w:r>
              <w:t xml:space="preserve">1 </w:t>
            </w:r>
            <w:r>
              <w:rPr>
                <w:rFonts w:hint="eastAsia"/>
              </w:rPr>
              <w:t>台</w:t>
            </w:r>
          </w:p>
        </w:tc>
        <w:tc>
          <w:p w14:paraId="5CBC4B37">
            <w:r>
              <w:t xml:space="preserve">16 </w:t>
            </w:r>
            <w:r>
              <w:rPr>
                <w:rFonts w:hint="eastAsia"/>
              </w:rPr>
              <w:t>核</w:t>
            </w:r>
            <w:r>
              <w:t xml:space="preserve"> CPU / 64 GB </w:t>
            </w:r>
            <w:r>
              <w:rPr>
                <w:rFonts w:hint="eastAsia"/>
              </w:rPr>
              <w:t>内存</w:t>
            </w:r>
            <w:r>
              <w:t xml:space="preserve"> / 2 TB NVMe SSD</w:t>
            </w:r>
          </w:p>
        </w:tc>
        <w:tc>
          <w:p w14:paraId="640B5193">
            <w:r>
              <w:rPr>
                <w:rFonts w:hint="eastAsia"/>
              </w:rPr>
              <w:t>承担生产写入</w:t>
            </w:r>
          </w:p>
        </w:tc>
      </w:tr>
      <w:tr w14:paraId="6DB7C8A7">
        <w:tc>
          <w:p w14:paraId="4D10C2FB">
            <w:r>
              <w:rPr>
                <w:rFonts w:hint="eastAsia"/>
              </w:rPr>
              <w:t>备库服务器</w:t>
            </w:r>
          </w:p>
        </w:tc>
        <w:tc>
          <w:p w14:paraId="2B7AD5D9">
            <w:pPr>
              <w:jc w:val="right"/>
            </w:pPr>
            <w:r>
              <w:t xml:space="preserve">1 </w:t>
            </w:r>
            <w:r>
              <w:rPr>
                <w:rFonts w:hint="eastAsia"/>
              </w:rPr>
              <w:t>台</w:t>
            </w:r>
          </w:p>
        </w:tc>
        <w:tc>
          <w:p w14:paraId="4E87D1E3">
            <w:r>
              <w:t xml:space="preserve">12 </w:t>
            </w:r>
            <w:r>
              <w:rPr>
                <w:rFonts w:hint="eastAsia"/>
              </w:rPr>
              <w:t>至</w:t>
            </w:r>
            <w:r>
              <w:t xml:space="preserve"> 16 </w:t>
            </w:r>
            <w:r>
              <w:rPr>
                <w:rFonts w:hint="eastAsia"/>
              </w:rPr>
              <w:t>核</w:t>
            </w:r>
            <w:r>
              <w:t xml:space="preserve"> CPU / 48 </w:t>
            </w:r>
            <w:r>
              <w:rPr>
                <w:rFonts w:hint="eastAsia"/>
              </w:rPr>
              <w:t>至</w:t>
            </w:r>
            <w:r>
              <w:t xml:space="preserve"> 64 GB </w:t>
            </w:r>
            <w:r>
              <w:rPr>
                <w:rFonts w:hint="eastAsia"/>
              </w:rPr>
              <w:t>内存</w:t>
            </w:r>
            <w:r>
              <w:t xml:space="preserve"> / 2 TB NVMe SSD</w:t>
            </w:r>
          </w:p>
        </w:tc>
        <w:tc>
          <w:p w14:paraId="76B94315">
            <w:r>
              <w:rPr>
                <w:rFonts w:hint="eastAsia"/>
              </w:rPr>
              <w:t>温备或热备均可</w:t>
            </w:r>
          </w:p>
        </w:tc>
      </w:tr>
      <w:tr w14:paraId="0F581BE9">
        <w:tc>
          <w:p w14:paraId="2B6BA3F3">
            <w:r>
              <w:rPr>
                <w:rFonts w:hint="eastAsia"/>
              </w:rPr>
              <w:t>备份存储</w:t>
            </w:r>
          </w:p>
        </w:tc>
        <w:tc>
          <w:p w14:paraId="477EF8B1">
            <w:pPr>
              <w:jc w:val="right"/>
            </w:pPr>
            <w:r>
              <w:t xml:space="preserve">1 </w:t>
            </w:r>
            <w:r>
              <w:rPr>
                <w:rFonts w:hint="eastAsia"/>
              </w:rPr>
              <w:t>套</w:t>
            </w:r>
          </w:p>
        </w:tc>
        <w:tc>
          <w:p w14:paraId="5E57C25A">
            <w:r>
              <w:rPr>
                <w:rFonts w:hint="eastAsia"/>
              </w:rPr>
              <w:t>可用空间</w:t>
            </w:r>
            <w:r>
              <w:t xml:space="preserve"> 4 TB </w:t>
            </w:r>
            <w:r>
              <w:rPr>
                <w:rFonts w:hint="eastAsia"/>
              </w:rPr>
              <w:t>起</w:t>
            </w:r>
          </w:p>
        </w:tc>
        <w:tc>
          <w:p w14:paraId="3C2332D1">
            <w:r>
              <w:rPr>
                <w:rFonts w:hint="eastAsia"/>
              </w:rPr>
              <w:t>存放基础备份与</w:t>
            </w:r>
            <w:r>
              <w:t xml:space="preserve"> WAL </w:t>
            </w:r>
            <w:r>
              <w:rPr>
                <w:rFonts w:hint="eastAsia"/>
              </w:rPr>
              <w:t>归档</w:t>
            </w:r>
          </w:p>
        </w:tc>
      </w:tr>
      <w:tr w14:paraId="3822A75E">
        <w:tc>
          <w:p w14:paraId="5E9D3D67">
            <w:r>
              <w:rPr>
                <w:rFonts w:hint="eastAsia"/>
              </w:rPr>
              <w:t>管理与监控节点</w:t>
            </w:r>
          </w:p>
        </w:tc>
        <w:tc>
          <w:p w14:paraId="40A5F19E">
            <w:pPr>
              <w:jc w:val="right"/>
            </w:pPr>
            <w:r>
              <w:t xml:space="preserve">1 </w:t>
            </w:r>
            <w:r>
              <w:rPr>
                <w:rFonts w:hint="eastAsia"/>
              </w:rPr>
              <w:t>台</w:t>
            </w:r>
          </w:p>
        </w:tc>
        <w:tc>
          <w:p w14:paraId="38A086F0">
            <w:r>
              <w:t xml:space="preserve">8 </w:t>
            </w:r>
            <w:r>
              <w:rPr>
                <w:rFonts w:hint="eastAsia"/>
              </w:rPr>
              <w:t>核</w:t>
            </w:r>
            <w:r>
              <w:t xml:space="preserve"> CPU / 16 GB </w:t>
            </w:r>
            <w:r>
              <w:rPr>
                <w:rFonts w:hint="eastAsia"/>
              </w:rPr>
              <w:t>内存</w:t>
            </w:r>
            <w:r>
              <w:t xml:space="preserve"> / 500 GB SSD</w:t>
            </w:r>
          </w:p>
        </w:tc>
        <w:tc>
          <w:p w14:paraId="69A45A46">
            <w:r>
              <w:rPr>
                <w:rFonts w:hint="eastAsia"/>
              </w:rPr>
              <w:t>部署监控、备份调度、巡检工具</w:t>
            </w:r>
          </w:p>
        </w:tc>
      </w:tr>
      <w:bookmarkEnd w:id="37"/>
    </w:tbl>
    <w:p w14:paraId="0F808A8F">
      <w:pPr>
        <w:pStyle w:val="4"/>
      </w:pPr>
      <w:bookmarkStart w:id="38" w:name="方案-b-资源申请清单"/>
      <w:r>
        <w:rPr>
          <w:rFonts w:hint="eastAsia"/>
        </w:rPr>
        <w:t>方案</w:t>
      </w:r>
      <w:r>
        <w:t xml:space="preserve"> B </w:t>
      </w:r>
      <w:r>
        <w:rPr>
          <w:rFonts w:hint="eastAsia"/>
        </w:rPr>
        <w:t>资源申请清单</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8"/>
        <w:gridCol w:w="2945"/>
        <w:gridCol w:w="2208"/>
        <w:gridCol w:w="2208"/>
      </w:tblGrid>
      <w:tr w14:paraId="6B4A7CBE">
        <w:trPr>
          <w:tblHeader/>
        </w:trPr>
        <w:tc>
          <w:p w14:paraId="1243CA47">
            <w:r>
              <w:rPr>
                <w:rFonts w:hint="eastAsia"/>
              </w:rPr>
              <w:t>资源类型</w:t>
            </w:r>
          </w:p>
        </w:tc>
        <w:tc>
          <w:p w14:paraId="2C1A175D">
            <w:pPr>
              <w:jc w:val="right"/>
            </w:pPr>
            <w:r>
              <w:rPr>
                <w:rFonts w:hint="eastAsia"/>
              </w:rPr>
              <w:t>数量</w:t>
            </w:r>
          </w:p>
        </w:tc>
        <w:tc>
          <w:p w14:paraId="2C464844">
            <w:r>
              <w:rPr>
                <w:rFonts w:hint="eastAsia"/>
              </w:rPr>
              <w:t>单节点建议配置</w:t>
            </w:r>
          </w:p>
        </w:tc>
        <w:tc>
          <w:p w14:paraId="571A192C">
            <w:r>
              <w:rPr>
                <w:rFonts w:hint="eastAsia"/>
              </w:rPr>
              <w:t>说明</w:t>
            </w:r>
          </w:p>
        </w:tc>
      </w:tr>
      <w:tr w14:paraId="013A38ED">
        <w:tc>
          <w:p w14:paraId="5CB187BA">
            <w:r>
              <w:rPr>
                <w:rFonts w:hint="eastAsia"/>
              </w:rPr>
              <w:t>主库服务器</w:t>
            </w:r>
          </w:p>
        </w:tc>
        <w:tc>
          <w:p w14:paraId="1BA4D814">
            <w:pPr>
              <w:jc w:val="right"/>
            </w:pPr>
            <w:r>
              <w:t xml:space="preserve">1 </w:t>
            </w:r>
            <w:r>
              <w:rPr>
                <w:rFonts w:hint="eastAsia"/>
              </w:rPr>
              <w:t>台</w:t>
            </w:r>
          </w:p>
        </w:tc>
        <w:tc>
          <w:p w14:paraId="2C5D204A">
            <w:r>
              <w:t xml:space="preserve">16 </w:t>
            </w:r>
            <w:r>
              <w:rPr>
                <w:rFonts w:hint="eastAsia"/>
              </w:rPr>
              <w:t>核</w:t>
            </w:r>
            <w:r>
              <w:t xml:space="preserve"> CPU / 64 GB </w:t>
            </w:r>
            <w:r>
              <w:rPr>
                <w:rFonts w:hint="eastAsia"/>
              </w:rPr>
              <w:t>内存</w:t>
            </w:r>
            <w:r>
              <w:t xml:space="preserve"> / 2 TB NVMe SSD</w:t>
            </w:r>
          </w:p>
        </w:tc>
        <w:tc>
          <w:p w14:paraId="402FB41F">
            <w:r>
              <w:rPr>
                <w:rFonts w:hint="eastAsia"/>
              </w:rPr>
              <w:t>部署在生产可用区</w:t>
            </w:r>
          </w:p>
        </w:tc>
      </w:tr>
      <w:tr w14:paraId="513C3295">
        <w:tc>
          <w:p w14:paraId="0E0B59FC">
            <w:r>
              <w:rPr>
                <w:rFonts w:hint="eastAsia"/>
              </w:rPr>
              <w:t>同城热备服务器</w:t>
            </w:r>
          </w:p>
        </w:tc>
        <w:tc>
          <w:p w14:paraId="68CD7562">
            <w:pPr>
              <w:jc w:val="right"/>
            </w:pPr>
            <w:r>
              <w:t xml:space="preserve">1 </w:t>
            </w:r>
            <w:r>
              <w:rPr>
                <w:rFonts w:hint="eastAsia"/>
              </w:rPr>
              <w:t>台</w:t>
            </w:r>
          </w:p>
        </w:tc>
        <w:tc>
          <w:p w14:paraId="65EDBFC1">
            <w:r>
              <w:t xml:space="preserve">16 </w:t>
            </w:r>
            <w:r>
              <w:rPr>
                <w:rFonts w:hint="eastAsia"/>
              </w:rPr>
              <w:t>核</w:t>
            </w:r>
            <w:r>
              <w:t xml:space="preserve"> CPU / 64 GB </w:t>
            </w:r>
            <w:r>
              <w:rPr>
                <w:rFonts w:hint="eastAsia"/>
              </w:rPr>
              <w:t>内存</w:t>
            </w:r>
            <w:r>
              <w:t xml:space="preserve"> / 2 TB NVMe SSD</w:t>
            </w:r>
          </w:p>
        </w:tc>
        <w:tc>
          <w:p w14:paraId="58B66BC9">
            <w:r>
              <w:rPr>
                <w:rFonts w:hint="eastAsia"/>
              </w:rPr>
              <w:t>与主库同规格，承担热备与切换</w:t>
            </w:r>
          </w:p>
        </w:tc>
      </w:tr>
      <w:tr w14:paraId="533BD4A5">
        <w:tc>
          <w:p w14:paraId="784A6742">
            <w:r>
              <w:rPr>
                <w:rFonts w:hint="eastAsia"/>
              </w:rPr>
              <w:t>备份归档存储</w:t>
            </w:r>
          </w:p>
        </w:tc>
        <w:tc>
          <w:p w14:paraId="72CA9013">
            <w:pPr>
              <w:jc w:val="right"/>
            </w:pPr>
            <w:r>
              <w:t xml:space="preserve">1 </w:t>
            </w:r>
            <w:r>
              <w:rPr>
                <w:rFonts w:hint="eastAsia"/>
              </w:rPr>
              <w:t>套</w:t>
            </w:r>
          </w:p>
        </w:tc>
        <w:tc>
          <w:p w14:paraId="79050D38">
            <w:r>
              <w:rPr>
                <w:rFonts w:hint="eastAsia"/>
              </w:rPr>
              <w:t>可用空间</w:t>
            </w:r>
            <w:r>
              <w:t xml:space="preserve"> 4 TB </w:t>
            </w:r>
            <w:r>
              <w:rPr>
                <w:rFonts w:hint="eastAsia"/>
              </w:rPr>
              <w:t>至</w:t>
            </w:r>
            <w:r>
              <w:t xml:space="preserve"> 6 TB</w:t>
            </w:r>
          </w:p>
        </w:tc>
        <w:tc>
          <w:p w14:paraId="38F8E4AF">
            <w:r>
              <w:rPr>
                <w:rFonts w:hint="eastAsia"/>
              </w:rPr>
              <w:t>存放基础备份、WAL、恢复校验副本</w:t>
            </w:r>
          </w:p>
        </w:tc>
      </w:tr>
      <w:tr w14:paraId="49B1BB5F">
        <w:tc>
          <w:p w14:paraId="7B9045F1">
            <w:r>
              <w:rPr>
                <w:rFonts w:hint="eastAsia"/>
              </w:rPr>
              <w:t>管理与监控节点</w:t>
            </w:r>
          </w:p>
        </w:tc>
        <w:tc>
          <w:p w14:paraId="5835E62B">
            <w:pPr>
              <w:jc w:val="right"/>
            </w:pPr>
            <w:r>
              <w:t xml:space="preserve">1 </w:t>
            </w:r>
            <w:r>
              <w:rPr>
                <w:rFonts w:hint="eastAsia"/>
              </w:rPr>
              <w:t>台</w:t>
            </w:r>
          </w:p>
        </w:tc>
        <w:tc>
          <w:p w14:paraId="12806BA8">
            <w:r>
              <w:t xml:space="preserve">8 </w:t>
            </w:r>
            <w:r>
              <w:rPr>
                <w:rFonts w:hint="eastAsia"/>
              </w:rPr>
              <w:t>核</w:t>
            </w:r>
            <w:r>
              <w:t xml:space="preserve"> CPU / 16 GB </w:t>
            </w:r>
            <w:r>
              <w:rPr>
                <w:rFonts w:hint="eastAsia"/>
              </w:rPr>
              <w:t>内存</w:t>
            </w:r>
            <w:r>
              <w:t xml:space="preserve"> / 500 GB SSD</w:t>
            </w:r>
          </w:p>
        </w:tc>
        <w:tc>
          <w:p w14:paraId="31F47F23">
            <w:r>
              <w:rPr>
                <w:rFonts w:hint="eastAsia"/>
              </w:rPr>
              <w:t>部署监控、备份、连接代理等工具</w:t>
            </w:r>
          </w:p>
        </w:tc>
      </w:tr>
      <w:bookmarkEnd w:id="38"/>
    </w:tbl>
    <w:p w14:paraId="402ECCF9">
      <w:pPr>
        <w:pStyle w:val="4"/>
      </w:pPr>
      <w:bookmarkStart w:id="39" w:name="方案-c-资源申请清单"/>
      <w:r>
        <w:rPr>
          <w:rFonts w:hint="eastAsia"/>
        </w:rPr>
        <w:t>方案</w:t>
      </w:r>
      <w:r>
        <w:t xml:space="preserve"> C </w:t>
      </w:r>
      <w:r>
        <w:rPr>
          <w:rFonts w:hint="eastAsia"/>
        </w:rPr>
        <w:t>资源申请清单</w:t>
      </w:r>
    </w:p>
    <w:tbl>
      <w:tblPr>
        <w:tblStyle w:val="7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8"/>
        <w:gridCol w:w="2945"/>
        <w:gridCol w:w="2208"/>
        <w:gridCol w:w="2208"/>
      </w:tblGrid>
      <w:tr w14:paraId="5AC3B6A2">
        <w:trPr>
          <w:tblHeader/>
        </w:trPr>
        <w:tc>
          <w:p w14:paraId="6D45A1E6">
            <w:r>
              <w:rPr>
                <w:rFonts w:hint="eastAsia"/>
              </w:rPr>
              <w:t>资源类型</w:t>
            </w:r>
          </w:p>
        </w:tc>
        <w:tc>
          <w:p w14:paraId="0E352085">
            <w:pPr>
              <w:jc w:val="right"/>
            </w:pPr>
            <w:r>
              <w:rPr>
                <w:rFonts w:hint="eastAsia"/>
              </w:rPr>
              <w:t>数量</w:t>
            </w:r>
          </w:p>
        </w:tc>
        <w:tc>
          <w:p w14:paraId="23C5333D">
            <w:r>
              <w:rPr>
                <w:rFonts w:hint="eastAsia"/>
              </w:rPr>
              <w:t>单节点建议配置</w:t>
            </w:r>
          </w:p>
        </w:tc>
        <w:tc>
          <w:p w14:paraId="31DD25E5">
            <w:r>
              <w:rPr>
                <w:rFonts w:hint="eastAsia"/>
              </w:rPr>
              <w:t>说明</w:t>
            </w:r>
          </w:p>
        </w:tc>
      </w:tr>
      <w:tr w14:paraId="5C0C93A1">
        <w:tc>
          <w:p w14:paraId="7D183EA8">
            <w:r>
              <w:rPr>
                <w:rFonts w:hint="eastAsia"/>
              </w:rPr>
              <w:t>主库服务器</w:t>
            </w:r>
          </w:p>
        </w:tc>
        <w:tc>
          <w:p w14:paraId="1E2A42D7">
            <w:pPr>
              <w:jc w:val="right"/>
            </w:pPr>
            <w:r>
              <w:t xml:space="preserve">1 </w:t>
            </w:r>
            <w:r>
              <w:rPr>
                <w:rFonts w:hint="eastAsia"/>
              </w:rPr>
              <w:t>台</w:t>
            </w:r>
          </w:p>
        </w:tc>
        <w:tc>
          <w:p w14:paraId="3CACD258">
            <w:r>
              <w:t xml:space="preserve">16 </w:t>
            </w:r>
            <w:r>
              <w:rPr>
                <w:rFonts w:hint="eastAsia"/>
              </w:rPr>
              <w:t>核</w:t>
            </w:r>
            <w:r>
              <w:t xml:space="preserve"> CPU / 64 GB </w:t>
            </w:r>
            <w:r>
              <w:rPr>
                <w:rFonts w:hint="eastAsia"/>
              </w:rPr>
              <w:t>内存</w:t>
            </w:r>
            <w:r>
              <w:t xml:space="preserve"> / 2 TB NVMe SSD</w:t>
            </w:r>
          </w:p>
        </w:tc>
        <w:tc>
          <w:p w14:paraId="30ABD8FA">
            <w:r>
              <w:rPr>
                <w:rFonts w:hint="eastAsia"/>
              </w:rPr>
              <w:t>部署在生产中心</w:t>
            </w:r>
          </w:p>
        </w:tc>
      </w:tr>
      <w:tr w14:paraId="1FA071CA">
        <w:tc>
          <w:p w14:paraId="140DA2F9">
            <w:r>
              <w:rPr>
                <w:rFonts w:hint="eastAsia"/>
              </w:rPr>
              <w:t>同城同步热备服务器</w:t>
            </w:r>
          </w:p>
        </w:tc>
        <w:tc>
          <w:p w14:paraId="50A27D10">
            <w:pPr>
              <w:jc w:val="right"/>
            </w:pPr>
            <w:r>
              <w:t xml:space="preserve">1 </w:t>
            </w:r>
            <w:r>
              <w:rPr>
                <w:rFonts w:hint="eastAsia"/>
              </w:rPr>
              <w:t>台</w:t>
            </w:r>
          </w:p>
        </w:tc>
        <w:tc>
          <w:p w14:paraId="2D68CC34">
            <w:r>
              <w:t xml:space="preserve">16 </w:t>
            </w:r>
            <w:r>
              <w:rPr>
                <w:rFonts w:hint="eastAsia"/>
              </w:rPr>
              <w:t>核</w:t>
            </w:r>
            <w:r>
              <w:t xml:space="preserve"> CPU / 64 GB </w:t>
            </w:r>
            <w:r>
              <w:rPr>
                <w:rFonts w:hint="eastAsia"/>
              </w:rPr>
              <w:t>内存</w:t>
            </w:r>
            <w:r>
              <w:t xml:space="preserve"> / 2 TB NVMe SSD</w:t>
            </w:r>
          </w:p>
        </w:tc>
        <w:tc>
          <w:p w14:paraId="1BEEEEAE">
            <w:r>
              <w:rPr>
                <w:rFonts w:hint="eastAsia"/>
              </w:rPr>
              <w:t>作为正式切换节点</w:t>
            </w:r>
          </w:p>
        </w:tc>
      </w:tr>
      <w:tr w14:paraId="493E470F">
        <w:tc>
          <w:p w14:paraId="77929A60">
            <w:r>
              <w:rPr>
                <w:rFonts w:hint="eastAsia"/>
              </w:rPr>
              <w:t>异地灾备服务器</w:t>
            </w:r>
          </w:p>
        </w:tc>
        <w:tc>
          <w:p w14:paraId="52B43840">
            <w:pPr>
              <w:jc w:val="right"/>
            </w:pPr>
            <w:r>
              <w:t xml:space="preserve">1 </w:t>
            </w:r>
            <w:r>
              <w:rPr>
                <w:rFonts w:hint="eastAsia"/>
              </w:rPr>
              <w:t>台</w:t>
            </w:r>
          </w:p>
        </w:tc>
        <w:tc>
          <w:p w14:paraId="487C7BDA">
            <w:r>
              <w:t xml:space="preserve">8 </w:t>
            </w:r>
            <w:r>
              <w:rPr>
                <w:rFonts w:hint="eastAsia"/>
              </w:rPr>
              <w:t>至</w:t>
            </w:r>
            <w:r>
              <w:t xml:space="preserve"> 12 </w:t>
            </w:r>
            <w:r>
              <w:rPr>
                <w:rFonts w:hint="eastAsia"/>
              </w:rPr>
              <w:t>核</w:t>
            </w:r>
            <w:r>
              <w:t xml:space="preserve"> CPU / 32 </w:t>
            </w:r>
            <w:r>
              <w:rPr>
                <w:rFonts w:hint="eastAsia"/>
              </w:rPr>
              <w:t>至</w:t>
            </w:r>
            <w:r>
              <w:t xml:space="preserve"> 48 GB </w:t>
            </w:r>
            <w:r>
              <w:rPr>
                <w:rFonts w:hint="eastAsia"/>
              </w:rPr>
              <w:t>内存</w:t>
            </w:r>
            <w:r>
              <w:t xml:space="preserve"> / 2 TB NVMe SSD</w:t>
            </w:r>
          </w:p>
        </w:tc>
        <w:tc>
          <w:p w14:paraId="5DC80400">
            <w:r>
              <w:rPr>
                <w:rFonts w:hint="eastAsia"/>
              </w:rPr>
              <w:t>用于区域级灾备恢复</w:t>
            </w:r>
          </w:p>
        </w:tc>
      </w:tr>
      <w:tr w14:paraId="595D0BD0">
        <w:tc>
          <w:p w14:paraId="0D81FD5E">
            <w:r>
              <w:rPr>
                <w:rFonts w:hint="eastAsia"/>
              </w:rPr>
              <w:t>集中备份归档存储</w:t>
            </w:r>
          </w:p>
        </w:tc>
        <w:tc>
          <w:p w14:paraId="6EC2B215">
            <w:pPr>
              <w:jc w:val="right"/>
            </w:pPr>
            <w:r>
              <w:t xml:space="preserve">1 </w:t>
            </w:r>
            <w:r>
              <w:rPr>
                <w:rFonts w:hint="eastAsia"/>
              </w:rPr>
              <w:t>套</w:t>
            </w:r>
          </w:p>
        </w:tc>
        <w:tc>
          <w:p w14:paraId="5A4050CC">
            <w:r>
              <w:rPr>
                <w:rFonts w:hint="eastAsia"/>
              </w:rPr>
              <w:t>可用空间</w:t>
            </w:r>
            <w:r>
              <w:t xml:space="preserve"> 6 TB </w:t>
            </w:r>
            <w:r>
              <w:rPr>
                <w:rFonts w:hint="eastAsia"/>
              </w:rPr>
              <w:t>起</w:t>
            </w:r>
          </w:p>
        </w:tc>
        <w:tc>
          <w:p w14:paraId="1B91A916">
            <w:r>
              <w:rPr>
                <w:rFonts w:hint="eastAsia"/>
              </w:rPr>
              <w:t>统一保存全量备份与</w:t>
            </w:r>
            <w:r>
              <w:t xml:space="preserve"> WAL </w:t>
            </w:r>
            <w:r>
              <w:rPr>
                <w:rFonts w:hint="eastAsia"/>
              </w:rPr>
              <w:t>归档</w:t>
            </w:r>
          </w:p>
        </w:tc>
      </w:tr>
      <w:tr w14:paraId="5AC88414">
        <w:tc>
          <w:p w14:paraId="5B142D16">
            <w:r>
              <w:rPr>
                <w:rFonts w:hint="eastAsia"/>
              </w:rPr>
              <w:t>管理与监控节点</w:t>
            </w:r>
          </w:p>
        </w:tc>
        <w:tc>
          <w:p w14:paraId="053ADE19">
            <w:pPr>
              <w:jc w:val="right"/>
            </w:pPr>
            <w:r>
              <w:t xml:space="preserve">1 </w:t>
            </w:r>
            <w:r>
              <w:rPr>
                <w:rFonts w:hint="eastAsia"/>
              </w:rPr>
              <w:t>台</w:t>
            </w:r>
          </w:p>
        </w:tc>
        <w:tc>
          <w:p w14:paraId="721E3C68">
            <w:r>
              <w:t xml:space="preserve">8 </w:t>
            </w:r>
            <w:r>
              <w:rPr>
                <w:rFonts w:hint="eastAsia"/>
              </w:rPr>
              <w:t>核</w:t>
            </w:r>
            <w:r>
              <w:t xml:space="preserve"> CPU / 16 GB </w:t>
            </w:r>
            <w:r>
              <w:rPr>
                <w:rFonts w:hint="eastAsia"/>
              </w:rPr>
              <w:t>内存</w:t>
            </w:r>
            <w:r>
              <w:t xml:space="preserve"> / 500 GB SSD</w:t>
            </w:r>
          </w:p>
        </w:tc>
        <w:tc>
          <w:p w14:paraId="1B203135">
            <w:r>
              <w:rPr>
                <w:rFonts w:hint="eastAsia"/>
              </w:rPr>
              <w:t>部署监控、备份、审计工具</w:t>
            </w:r>
          </w:p>
        </w:tc>
      </w:tr>
      <w:bookmarkEnd w:id="39"/>
    </w:tbl>
    <w:p w14:paraId="318D6830">
      <w:pPr>
        <w:pStyle w:val="4"/>
      </w:pPr>
      <w:bookmarkStart w:id="40" w:name="资源申请补充说明"/>
      <w:r>
        <w:rPr>
          <w:rFonts w:hint="eastAsia"/>
        </w:rPr>
        <w:t>资源申请补充说明</w:t>
      </w:r>
    </w:p>
    <w:p w14:paraId="00BA4EF2">
      <w:pPr>
        <w:numPr>
          <w:ilvl w:val="0"/>
          <w:numId w:val="13"/>
        </w:numPr>
      </w:pPr>
      <w:r>
        <w:rPr>
          <w:rFonts w:hint="eastAsia"/>
        </w:rPr>
        <w:t>如甲方要求备库长期承担报表、统计或只读查询负载，备库应按主库同规格申请。</w:t>
      </w:r>
    </w:p>
    <w:p w14:paraId="3852DF50">
      <w:pPr>
        <w:numPr>
          <w:ilvl w:val="0"/>
          <w:numId w:val="13"/>
        </w:numPr>
      </w:pPr>
      <w:r>
        <w:rPr>
          <w:rFonts w:hint="eastAsia"/>
        </w:rPr>
        <w:t>如数据库数据量预估超过</w:t>
      </w:r>
      <w:r>
        <w:t xml:space="preserve"> 1 </w:t>
      </w:r>
      <w:r>
        <w:rPr>
          <w:rFonts w:hint="eastAsia"/>
        </w:rPr>
        <w:t>TB，建议主库与备库磁盘统一提升至</w:t>
      </w:r>
      <w:r>
        <w:t xml:space="preserve"> 4 TB </w:t>
      </w:r>
      <w:r>
        <w:rPr>
          <w:rFonts w:hint="eastAsia"/>
        </w:rPr>
        <w:t>起步。</w:t>
      </w:r>
    </w:p>
    <w:p w14:paraId="11495FF7">
      <w:pPr>
        <w:numPr>
          <w:ilvl w:val="0"/>
          <w:numId w:val="13"/>
        </w:numPr>
      </w:pPr>
      <w:r>
        <w:rPr>
          <w:rFonts w:hint="eastAsia"/>
        </w:rPr>
        <w:t>如需要保留</w:t>
      </w:r>
      <w:r>
        <w:t xml:space="preserve"> 30 </w:t>
      </w:r>
      <w:r>
        <w:rPr>
          <w:rFonts w:hint="eastAsia"/>
        </w:rPr>
        <w:t>日以上</w:t>
      </w:r>
      <w:r>
        <w:t xml:space="preserve"> WAL </w:t>
      </w:r>
      <w:r>
        <w:rPr>
          <w:rFonts w:hint="eastAsia"/>
        </w:rPr>
        <w:t>归档或多周期全量备份，备份存储应按“在线数据量的</w:t>
      </w:r>
      <w:r>
        <w:t xml:space="preserve"> 2 </w:t>
      </w:r>
      <w:r>
        <w:rPr>
          <w:rFonts w:hint="eastAsia"/>
        </w:rPr>
        <w:t>至</w:t>
      </w:r>
      <w:r>
        <w:t xml:space="preserve"> 3 </w:t>
      </w:r>
      <w:r>
        <w:rPr>
          <w:rFonts w:hint="eastAsia"/>
        </w:rPr>
        <w:t>倍”进行规划。</w:t>
      </w:r>
    </w:p>
    <w:bookmarkEnd w:id="36"/>
    <w:bookmarkEnd w:id="40"/>
    <w:p w14:paraId="1A9F7C16">
      <w:pPr>
        <w:pStyle w:val="3"/>
      </w:pPr>
      <w:bookmarkStart w:id="41" w:name="_Toc1677198837"/>
      <w:bookmarkStart w:id="42" w:name="网络与存储要求"/>
      <w:r>
        <w:rPr>
          <w:rFonts w:hint="eastAsia"/>
        </w:rPr>
        <w:t>网络与存储要求</w:t>
      </w:r>
      <w:bookmarkEnd w:id="41"/>
    </w:p>
    <w:p w14:paraId="69F67CBA">
      <w:pPr>
        <w:pStyle w:val="4"/>
      </w:pPr>
      <w:bookmarkStart w:id="43" w:name="网络要求"/>
      <w:r>
        <w:rPr>
          <w:rFonts w:hint="eastAsia"/>
        </w:rPr>
        <w:t>网络要求</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2526"/>
        <w:gridCol w:w="2946"/>
      </w:tblGrid>
      <w:tr w14:paraId="3702213A">
        <w:trPr>
          <w:tblHeader/>
        </w:trPr>
        <w:tc>
          <w:p w14:paraId="758BA9C4">
            <w:r>
              <w:rPr>
                <w:rFonts w:hint="eastAsia"/>
              </w:rPr>
              <w:t>项目</w:t>
            </w:r>
          </w:p>
        </w:tc>
        <w:tc>
          <w:p w14:paraId="5B587F62">
            <w:r>
              <w:rPr>
                <w:rFonts w:hint="eastAsia"/>
              </w:rPr>
              <w:t>建议要求</w:t>
            </w:r>
          </w:p>
        </w:tc>
        <w:tc>
          <w:p w14:paraId="16CAEA2A">
            <w:r>
              <w:rPr>
                <w:rFonts w:hint="eastAsia"/>
              </w:rPr>
              <w:t>说明</w:t>
            </w:r>
          </w:p>
        </w:tc>
      </w:tr>
      <w:tr w14:paraId="0A3ED849">
        <w:tc>
          <w:p w14:paraId="4E9B64BA">
            <w:r>
              <w:rPr>
                <w:rFonts w:hint="eastAsia"/>
              </w:rPr>
              <w:t>主备网络带宽</w:t>
            </w:r>
          </w:p>
        </w:tc>
        <w:tc>
          <w:p w14:paraId="06E04F32">
            <w:r>
              <w:rPr>
                <w:rFonts w:hint="eastAsia"/>
              </w:rPr>
              <w:t>不低于</w:t>
            </w:r>
            <w:r>
              <w:t xml:space="preserve"> 10 Gbps</w:t>
            </w:r>
          </w:p>
        </w:tc>
        <w:tc>
          <w:p w14:paraId="10A84253">
            <w:r>
              <w:rPr>
                <w:rFonts w:hint="eastAsia"/>
              </w:rPr>
              <w:t>保障流复制稳定性与切换效率</w:t>
            </w:r>
          </w:p>
        </w:tc>
      </w:tr>
      <w:tr w14:paraId="025CB0A2">
        <w:tc>
          <w:p w14:paraId="1FE3703F">
            <w:r>
              <w:rPr>
                <w:rFonts w:hint="eastAsia"/>
              </w:rPr>
              <w:t>同城主备时延</w:t>
            </w:r>
          </w:p>
        </w:tc>
        <w:tc>
          <w:p w14:paraId="4FF4584F">
            <w:r>
              <w:rPr>
                <w:rFonts w:hint="eastAsia"/>
              </w:rPr>
              <w:t>建议低于</w:t>
            </w:r>
            <w:r>
              <w:t xml:space="preserve"> 2 ms</w:t>
            </w:r>
          </w:p>
        </w:tc>
        <w:tc>
          <w:p w14:paraId="1CC2DAC3">
            <w:r>
              <w:rPr>
                <w:rFonts w:hint="eastAsia"/>
              </w:rPr>
              <w:t>适合同步复制</w:t>
            </w:r>
          </w:p>
        </w:tc>
      </w:tr>
      <w:tr w14:paraId="765ABB85">
        <w:tc>
          <w:p w14:paraId="18C87863">
            <w:r>
              <w:rPr>
                <w:rFonts w:hint="eastAsia"/>
              </w:rPr>
              <w:t>异地主备链路</w:t>
            </w:r>
          </w:p>
        </w:tc>
        <w:tc>
          <w:p w14:paraId="57F574D3">
            <w:r>
              <w:rPr>
                <w:rFonts w:hint="eastAsia"/>
              </w:rPr>
              <w:t>建议专线或稳定</w:t>
            </w:r>
            <w:r>
              <w:t xml:space="preserve"> VPN</w:t>
            </w:r>
          </w:p>
        </w:tc>
        <w:tc>
          <w:p w14:paraId="44B07E02">
            <w:r>
              <w:rPr>
                <w:rFonts w:hint="eastAsia"/>
              </w:rPr>
              <w:t>适合异步复制与备份回传</w:t>
            </w:r>
          </w:p>
        </w:tc>
      </w:tr>
      <w:tr w14:paraId="69882F61">
        <w:tc>
          <w:p w14:paraId="2A1C1AF9">
            <w:r>
              <w:rPr>
                <w:rFonts w:hint="eastAsia"/>
              </w:rPr>
              <w:t>复制链路隔离</w:t>
            </w:r>
          </w:p>
        </w:tc>
        <w:tc>
          <w:p w14:paraId="17E8A26B">
            <w:r>
              <w:rPr>
                <w:rFonts w:hint="eastAsia"/>
              </w:rPr>
              <w:t>建议与业务访问链路分离</w:t>
            </w:r>
          </w:p>
        </w:tc>
        <w:tc>
          <w:p w14:paraId="01886093">
            <w:r>
              <w:rPr>
                <w:rFonts w:hint="eastAsia"/>
              </w:rPr>
              <w:t>降低复制抖动风险</w:t>
            </w:r>
          </w:p>
        </w:tc>
      </w:tr>
      <w:bookmarkEnd w:id="43"/>
    </w:tbl>
    <w:p w14:paraId="50D24F89">
      <w:pPr>
        <w:pStyle w:val="4"/>
      </w:pPr>
      <w:bookmarkStart w:id="44" w:name="存储要求"/>
      <w:r>
        <w:rPr>
          <w:rFonts w:hint="eastAsia"/>
        </w:rPr>
        <w:t>存储要求</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2772"/>
        <w:gridCol w:w="2946"/>
      </w:tblGrid>
      <w:tr w14:paraId="7E0753EF">
        <w:trPr>
          <w:tblHeader/>
        </w:trPr>
        <w:tc>
          <w:p w14:paraId="1108EC50">
            <w:r>
              <w:rPr>
                <w:rFonts w:hint="eastAsia"/>
              </w:rPr>
              <w:t>项目</w:t>
            </w:r>
          </w:p>
        </w:tc>
        <w:tc>
          <w:p w14:paraId="42ECFE2D">
            <w:r>
              <w:rPr>
                <w:rFonts w:hint="eastAsia"/>
              </w:rPr>
              <w:t>建议要求</w:t>
            </w:r>
          </w:p>
        </w:tc>
        <w:tc>
          <w:p w14:paraId="7B8820D3">
            <w:r>
              <w:rPr>
                <w:rFonts w:hint="eastAsia"/>
              </w:rPr>
              <w:t>说明</w:t>
            </w:r>
          </w:p>
        </w:tc>
      </w:tr>
      <w:tr w14:paraId="4A142886">
        <w:tc>
          <w:p w14:paraId="6F491CB5">
            <w:r>
              <w:rPr>
                <w:rFonts w:hint="eastAsia"/>
              </w:rPr>
              <w:t>主库存储</w:t>
            </w:r>
          </w:p>
        </w:tc>
        <w:tc>
          <w:p w14:paraId="73600894">
            <w:r>
              <w:t xml:space="preserve">NVMe SSD </w:t>
            </w:r>
            <w:r>
              <w:rPr>
                <w:rFonts w:hint="eastAsia"/>
              </w:rPr>
              <w:t>或企业级</w:t>
            </w:r>
            <w:r>
              <w:t xml:space="preserve"> SSD</w:t>
            </w:r>
          </w:p>
        </w:tc>
        <w:tc>
          <w:p w14:paraId="1C9D371B">
            <w:r>
              <w:rPr>
                <w:rFonts w:hint="eastAsia"/>
              </w:rPr>
              <w:t>保障</w:t>
            </w:r>
            <w:r>
              <w:t xml:space="preserve"> WAL </w:t>
            </w:r>
            <w:r>
              <w:rPr>
                <w:rFonts w:hint="eastAsia"/>
              </w:rPr>
              <w:t>与随机</w:t>
            </w:r>
            <w:r>
              <w:t xml:space="preserve"> I/O </w:t>
            </w:r>
            <w:r>
              <w:rPr>
                <w:rFonts w:hint="eastAsia"/>
              </w:rPr>
              <w:t>性能</w:t>
            </w:r>
          </w:p>
        </w:tc>
      </w:tr>
      <w:tr w14:paraId="0D1EF7E9">
        <w:tc>
          <w:p w14:paraId="6B0AC52C">
            <w:r>
              <w:rPr>
                <w:rFonts w:hint="eastAsia"/>
              </w:rPr>
              <w:t>备库存储</w:t>
            </w:r>
          </w:p>
        </w:tc>
        <w:tc>
          <w:p w14:paraId="5587ABA4">
            <w:r>
              <w:rPr>
                <w:rFonts w:hint="eastAsia"/>
              </w:rPr>
              <w:t>不低于主库存储规格</w:t>
            </w:r>
          </w:p>
        </w:tc>
        <w:tc>
          <w:p w14:paraId="14AE92B5">
            <w:r>
              <w:rPr>
                <w:rFonts w:hint="eastAsia"/>
              </w:rPr>
              <w:t>保障回放与切换性能</w:t>
            </w:r>
          </w:p>
        </w:tc>
      </w:tr>
      <w:tr w14:paraId="35377020">
        <w:tc>
          <w:p w14:paraId="274518E4">
            <w:r>
              <w:rPr>
                <w:rFonts w:hint="eastAsia"/>
              </w:rPr>
              <w:t>磁盘阵列</w:t>
            </w:r>
          </w:p>
        </w:tc>
        <w:tc>
          <w:p w14:paraId="0F112167">
            <w:r>
              <w:t xml:space="preserve">RAID 10 </w:t>
            </w:r>
            <w:r>
              <w:rPr>
                <w:rFonts w:hint="eastAsia"/>
              </w:rPr>
              <w:t>优先</w:t>
            </w:r>
          </w:p>
        </w:tc>
        <w:tc>
          <w:p w14:paraId="371315CA">
            <w:r>
              <w:rPr>
                <w:rFonts w:hint="eastAsia"/>
              </w:rPr>
              <w:t>平衡可靠性与性能</w:t>
            </w:r>
          </w:p>
        </w:tc>
      </w:tr>
      <w:tr w14:paraId="5992709A">
        <w:tc>
          <w:p w14:paraId="728C1E40">
            <w:r>
              <w:rPr>
                <w:rFonts w:hint="eastAsia"/>
              </w:rPr>
              <w:t>备份存储</w:t>
            </w:r>
          </w:p>
        </w:tc>
        <w:tc>
          <w:p w14:paraId="39156B3E">
            <w:r>
              <w:rPr>
                <w:rFonts w:hint="eastAsia"/>
              </w:rPr>
              <w:t>独立于数据库数据盘</w:t>
            </w:r>
          </w:p>
        </w:tc>
        <w:tc>
          <w:p w14:paraId="26DBEE44">
            <w:r>
              <w:rPr>
                <w:rFonts w:hint="eastAsia"/>
              </w:rPr>
              <w:t>避免单点故障导致备份不可用</w:t>
            </w:r>
          </w:p>
        </w:tc>
      </w:tr>
      <w:bookmarkEnd w:id="42"/>
      <w:bookmarkEnd w:id="44"/>
    </w:tbl>
    <w:p w14:paraId="330DF10D">
      <w:pPr>
        <w:pStyle w:val="3"/>
      </w:pPr>
      <w:bookmarkStart w:id="45" w:name="_Toc810502937"/>
      <w:bookmarkStart w:id="46" w:name="数据库代理与连接接入方案"/>
      <w:r>
        <w:rPr>
          <w:rFonts w:hint="eastAsia"/>
        </w:rPr>
        <w:t>数据库代理与连接接入方案</w:t>
      </w:r>
      <w:bookmarkEnd w:id="45"/>
    </w:p>
    <w:p w14:paraId="1F02115E">
      <w:pPr>
        <w:pStyle w:val="4"/>
      </w:pPr>
      <w:bookmarkStart w:id="47" w:name="建设目标"/>
      <w:r>
        <w:rPr>
          <w:rFonts w:hint="eastAsia"/>
        </w:rPr>
        <w:t>建设目标</w:t>
      </w:r>
    </w:p>
    <w:p w14:paraId="508DE2EF">
      <w:r>
        <w:rPr>
          <w:rFonts w:hint="eastAsia"/>
        </w:rPr>
        <w:t>为避免应用系统直接连接数据库物理节点，并降低主备切换时应用侧配置变更成本，PostgreSQL</w:t>
      </w:r>
      <w:r>
        <w:t xml:space="preserve"> 16 </w:t>
      </w:r>
      <w:r>
        <w:rPr>
          <w:rFonts w:hint="eastAsia"/>
        </w:rPr>
        <w:t>容灾体系宜配套建设数据库代理与连接接入层。</w:t>
      </w:r>
    </w:p>
    <w:p w14:paraId="70B6EFEC">
      <w:pPr>
        <w:pStyle w:val="13"/>
      </w:pPr>
      <w:r>
        <w:rPr>
          <w:rFonts w:hint="eastAsia"/>
        </w:rPr>
        <w:t>数据库代理层建设目标如下：</w:t>
      </w:r>
    </w:p>
    <w:p w14:paraId="194C2F7B">
      <w:pPr>
        <w:numPr>
          <w:ilvl w:val="0"/>
          <w:numId w:val="14"/>
        </w:numPr>
      </w:pPr>
      <w:r>
        <w:rPr>
          <w:rFonts w:hint="eastAsia"/>
        </w:rPr>
        <w:t>为应用系统提供统一数据库访问地址。</w:t>
      </w:r>
    </w:p>
    <w:p w14:paraId="1CA95206">
      <w:pPr>
        <w:numPr>
          <w:ilvl w:val="0"/>
          <w:numId w:val="14"/>
        </w:numPr>
      </w:pPr>
      <w:r>
        <w:rPr>
          <w:rFonts w:hint="eastAsia"/>
        </w:rPr>
        <w:t>在主备切换时避免逐台修改应用节点连接配置。</w:t>
      </w:r>
    </w:p>
    <w:p w14:paraId="36C4C078">
      <w:pPr>
        <w:numPr>
          <w:ilvl w:val="0"/>
          <w:numId w:val="14"/>
        </w:numPr>
      </w:pPr>
      <w:r>
        <w:rPr>
          <w:rFonts w:hint="eastAsia"/>
        </w:rPr>
        <w:t>控制应用连接数，降低数据库连接管理压力。</w:t>
      </w:r>
    </w:p>
    <w:p w14:paraId="138BB7A4">
      <w:pPr>
        <w:numPr>
          <w:ilvl w:val="0"/>
          <w:numId w:val="14"/>
        </w:numPr>
      </w:pPr>
      <w:r>
        <w:rPr>
          <w:rFonts w:hint="eastAsia"/>
        </w:rPr>
        <w:t>为后续读写分离和只读查询扩展预留接入能力。</w:t>
      </w:r>
    </w:p>
    <w:bookmarkEnd w:id="47"/>
    <w:p w14:paraId="72F02061">
      <w:pPr>
        <w:pStyle w:val="4"/>
      </w:pPr>
      <w:bookmarkStart w:id="48" w:name="推荐组件组合"/>
      <w:r>
        <w:rPr>
          <w:rFonts w:hint="eastAsia"/>
        </w:rPr>
        <w:t>推荐组件组合</w:t>
      </w:r>
    </w:p>
    <w:p w14:paraId="34D4C2F6">
      <w:r>
        <w:rPr>
          <w:rFonts w:hint="eastAsia"/>
        </w:rPr>
        <w:t>结合当前项目应用规模与运维复杂度控制要求，推荐采用以下组件组合：</w:t>
      </w:r>
    </w:p>
    <w:p w14:paraId="7F069C02">
      <w:pPr>
        <w:numPr>
          <w:ilvl w:val="0"/>
          <w:numId w:val="15"/>
        </w:numPr>
      </w:pPr>
      <w:r>
        <w:t>Patroni</w:t>
      </w:r>
      <w:r>
        <w:rPr>
          <w:rFonts w:hint="eastAsia"/>
        </w:rPr>
        <w:t>：负责</w:t>
      </w:r>
      <w:r>
        <w:t xml:space="preserve"> PostgreSQL </w:t>
      </w:r>
      <w:r>
        <w:rPr>
          <w:rFonts w:hint="eastAsia"/>
        </w:rPr>
        <w:t>主备状态管理、主库选举与故障切换。</w:t>
      </w:r>
    </w:p>
    <w:p w14:paraId="5ED4D00C">
      <w:pPr>
        <w:numPr>
          <w:ilvl w:val="0"/>
          <w:numId w:val="15"/>
        </w:numPr>
      </w:pPr>
      <w:r>
        <w:t>HAProxy</w:t>
      </w:r>
      <w:r>
        <w:rPr>
          <w:rFonts w:hint="eastAsia"/>
        </w:rPr>
        <w:t>：负责数据库访问入口转发，将写请求路由到当前主库。</w:t>
      </w:r>
    </w:p>
    <w:p w14:paraId="5953C2F6">
      <w:pPr>
        <w:numPr>
          <w:ilvl w:val="0"/>
          <w:numId w:val="15"/>
        </w:numPr>
      </w:pPr>
      <w:r>
        <w:t>PgBouncer</w:t>
      </w:r>
      <w:r>
        <w:rPr>
          <w:rFonts w:hint="eastAsia"/>
        </w:rPr>
        <w:t>：负责连接池管理，降低应用对</w:t>
      </w:r>
      <w:r>
        <w:t xml:space="preserve"> PostgreSQL </w:t>
      </w:r>
      <w:r>
        <w:rPr>
          <w:rFonts w:hint="eastAsia"/>
        </w:rPr>
        <w:t>后端连接数的直接冲击。</w:t>
      </w:r>
    </w:p>
    <w:p w14:paraId="25DFFEFF">
      <w:r>
        <w:rPr>
          <w:rFonts w:hint="eastAsia"/>
        </w:rPr>
        <w:t>本项目不建议以</w:t>
      </w:r>
      <w:r>
        <w:t xml:space="preserve"> pgpool-II </w:t>
      </w:r>
      <w:r>
        <w:rPr>
          <w:rFonts w:hint="eastAsia"/>
        </w:rPr>
        <w:t>作为首选统一方案。原因在于</w:t>
      </w:r>
      <w:r>
        <w:t xml:space="preserve"> pgpool-II </w:t>
      </w:r>
      <w:r>
        <w:rPr>
          <w:rFonts w:hint="eastAsia"/>
        </w:rPr>
        <w:t>功能较重、配置复杂、运维成本较高，不利于当前项目在甲方环境中的快速落地与稳定运维。</w:t>
      </w:r>
    </w:p>
    <w:bookmarkEnd w:id="48"/>
    <w:p w14:paraId="27EF06B5">
      <w:pPr>
        <w:pStyle w:val="4"/>
      </w:pPr>
      <w:bookmarkStart w:id="49" w:name="推荐接入拓扑"/>
      <w:r>
        <w:rPr>
          <w:rFonts w:hint="eastAsia"/>
        </w:rPr>
        <w:t>推荐接入拓扑</w:t>
      </w:r>
    </w:p>
    <w:p w14:paraId="7580FBBE">
      <w:pPr>
        <w:pStyle w:val="5"/>
      </w:pPr>
      <w:bookmarkStart w:id="50" w:name="模式一统一读写入口"/>
      <w:r>
        <w:rPr>
          <w:rFonts w:hint="eastAsia"/>
        </w:rPr>
        <w:t>模式一：统一读写入口</w:t>
      </w:r>
    </w:p>
    <w:p w14:paraId="56454EA1">
      <w:r>
        <w:rPr>
          <w:rFonts w:hint="eastAsia"/>
        </w:rPr>
        <w:t>适用于一期先满足高可用与连接池要求，暂不启用读写分离的场景。</w:t>
      </w:r>
    </w:p>
    <w:p w14:paraId="580D7CD5">
      <w:pPr>
        <w:pStyle w:val="13"/>
      </w:pPr>
      <w:r>
        <w:rPr>
          <w:rFonts w:hint="eastAsia"/>
        </w:rPr>
        <w:t>接入关系图：</w:t>
      </w:r>
    </w:p>
    <w:p w14:paraId="5342E14D">
      <w:r>
        <w:drawing>
          <wp:inline distT="0" distB="0" distL="114300" distR="114300">
            <wp:extent cx="3962400" cy="5473700"/>
            <wp:effectExtent l="0" t="0" r="0" b="0"/>
            <wp:docPr id="66" name="Picture" descr="图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descr="图5"/>
                    <pic:cNvPicPr>
                      <a:picLocks noChangeAspect="1" noChangeArrowheads="1"/>
                    </pic:cNvPicPr>
                  </pic:nvPicPr>
                  <pic:blipFill>
                    <a:blip r:embed="rId12"/>
                    <a:stretch>
                      <a:fillRect/>
                    </a:stretch>
                  </pic:blipFill>
                  <pic:spPr>
                    <a:xfrm>
                      <a:off x="0" y="0"/>
                      <a:ext cx="3962400" cy="5473700"/>
                    </a:xfrm>
                    <a:prstGeom prst="rect">
                      <a:avLst/>
                    </a:prstGeom>
                    <a:noFill/>
                    <a:ln w="9525">
                      <a:noFill/>
                    </a:ln>
                  </pic:spPr>
                </pic:pic>
              </a:graphicData>
            </a:graphic>
          </wp:inline>
        </w:drawing>
      </w:r>
    </w:p>
    <w:p w14:paraId="0A3AD794">
      <w:r>
        <w:rPr>
          <w:rFonts w:hint="eastAsia"/>
        </w:rPr>
        <w:t>图5</w:t>
      </w:r>
    </w:p>
    <w:p w14:paraId="72EA23DE">
      <w:pPr>
        <w:pStyle w:val="13"/>
      </w:pPr>
      <w:r>
        <w:rPr>
          <w:rFonts w:hint="eastAsia"/>
        </w:rPr>
        <w:t>说明：</w:t>
      </w:r>
    </w:p>
    <w:p w14:paraId="10D67FC1">
      <w:pPr>
        <w:numPr>
          <w:ilvl w:val="0"/>
          <w:numId w:val="16"/>
        </w:numPr>
      </w:pPr>
      <w:r>
        <w:rPr>
          <w:rFonts w:hint="eastAsia"/>
        </w:rPr>
        <w:t>应用系统统一连接</w:t>
      </w:r>
      <w:r>
        <w:t xml:space="preserve"> PgBouncer </w:t>
      </w:r>
      <w:r>
        <w:rPr>
          <w:rFonts w:hint="eastAsia"/>
        </w:rPr>
        <w:t>暴露的数据库接入地址。</w:t>
      </w:r>
    </w:p>
    <w:p w14:paraId="4D908951">
      <w:pPr>
        <w:numPr>
          <w:ilvl w:val="0"/>
          <w:numId w:val="16"/>
        </w:numPr>
      </w:pPr>
      <w:r>
        <w:t xml:space="preserve">PgBouncer </w:t>
      </w:r>
      <w:r>
        <w:rPr>
          <w:rFonts w:hint="eastAsia"/>
        </w:rPr>
        <w:t>后端连接到</w:t>
      </w:r>
      <w:r>
        <w:t xml:space="preserve"> HAProxy </w:t>
      </w:r>
      <w:r>
        <w:rPr>
          <w:rFonts w:hint="eastAsia"/>
        </w:rPr>
        <w:t>的读写入口。</w:t>
      </w:r>
    </w:p>
    <w:p w14:paraId="5D4CCC02">
      <w:pPr>
        <w:numPr>
          <w:ilvl w:val="0"/>
          <w:numId w:val="16"/>
        </w:numPr>
      </w:pPr>
      <w:r>
        <w:t xml:space="preserve">HAProxy </w:t>
      </w:r>
      <w:r>
        <w:rPr>
          <w:rFonts w:hint="eastAsia"/>
        </w:rPr>
        <w:t>根据</w:t>
      </w:r>
      <w:r>
        <w:t xml:space="preserve"> Patroni </w:t>
      </w:r>
      <w:r>
        <w:rPr>
          <w:rFonts w:hint="eastAsia"/>
        </w:rPr>
        <w:t>暴露的主备状态，将流量转发到当前主库。</w:t>
      </w:r>
    </w:p>
    <w:p w14:paraId="62797676">
      <w:pPr>
        <w:numPr>
          <w:ilvl w:val="0"/>
          <w:numId w:val="16"/>
        </w:numPr>
      </w:pPr>
      <w:r>
        <w:rPr>
          <w:rFonts w:hint="eastAsia"/>
        </w:rPr>
        <w:t>主备切换时，应用端数据库</w:t>
      </w:r>
      <w:r>
        <w:t xml:space="preserve"> URL </w:t>
      </w:r>
      <w:r>
        <w:rPr>
          <w:rFonts w:hint="eastAsia"/>
        </w:rPr>
        <w:t>不变。</w:t>
      </w:r>
    </w:p>
    <w:bookmarkEnd w:id="50"/>
    <w:p w14:paraId="33E43215">
      <w:pPr>
        <w:pStyle w:val="5"/>
      </w:pPr>
      <w:bookmarkStart w:id="51" w:name="模式二读写分离入口"/>
      <w:r>
        <w:rPr>
          <w:rFonts w:hint="eastAsia"/>
        </w:rPr>
        <w:t>模式二：读写分离入口</w:t>
      </w:r>
    </w:p>
    <w:p w14:paraId="504BD8E4">
      <w:r>
        <w:rPr>
          <w:rFonts w:hint="eastAsia"/>
        </w:rPr>
        <w:t>适用于二期或存在报表、统计、查询分流需求的场景。</w:t>
      </w:r>
    </w:p>
    <w:p w14:paraId="5644EC50">
      <w:pPr>
        <w:pStyle w:val="13"/>
      </w:pPr>
      <w:r>
        <w:rPr>
          <w:rFonts w:hint="eastAsia"/>
        </w:rPr>
        <w:t>接入关系图：</w:t>
      </w:r>
    </w:p>
    <w:p w14:paraId="37DDC61B">
      <w:r>
        <w:drawing>
          <wp:inline distT="0" distB="0" distL="114300" distR="114300">
            <wp:extent cx="5930900" cy="2149475"/>
            <wp:effectExtent l="0" t="0" r="0" b="0"/>
            <wp:docPr id="70" name="Picture" descr="图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descr="图6"/>
                    <pic:cNvPicPr>
                      <a:picLocks noChangeAspect="1" noChangeArrowheads="1"/>
                    </pic:cNvPicPr>
                  </pic:nvPicPr>
                  <pic:blipFill>
                    <a:blip r:embed="rId13"/>
                    <a:stretch>
                      <a:fillRect/>
                    </a:stretch>
                  </pic:blipFill>
                  <pic:spPr>
                    <a:xfrm>
                      <a:off x="0" y="0"/>
                      <a:ext cx="5930900" cy="2149951"/>
                    </a:xfrm>
                    <a:prstGeom prst="rect">
                      <a:avLst/>
                    </a:prstGeom>
                    <a:noFill/>
                    <a:ln w="9525">
                      <a:noFill/>
                    </a:ln>
                  </pic:spPr>
                </pic:pic>
              </a:graphicData>
            </a:graphic>
          </wp:inline>
        </w:drawing>
      </w:r>
    </w:p>
    <w:p w14:paraId="5AB5697C">
      <w:r>
        <w:rPr>
          <w:rFonts w:hint="eastAsia"/>
        </w:rPr>
        <w:t>图6</w:t>
      </w:r>
    </w:p>
    <w:p w14:paraId="2F2C8A12">
      <w:pPr>
        <w:pStyle w:val="13"/>
      </w:pPr>
      <w:r>
        <w:rPr>
          <w:rFonts w:hint="eastAsia"/>
        </w:rPr>
        <w:t>说明：</w:t>
      </w:r>
    </w:p>
    <w:p w14:paraId="0CCF112A">
      <w:pPr>
        <w:numPr>
          <w:ilvl w:val="0"/>
          <w:numId w:val="17"/>
        </w:numPr>
      </w:pPr>
      <w:r>
        <w:rPr>
          <w:rFonts w:hint="eastAsia"/>
        </w:rPr>
        <w:t>写请求通过</w:t>
      </w:r>
      <w:r>
        <w:t xml:space="preserve"> RW </w:t>
      </w:r>
      <w:r>
        <w:rPr>
          <w:rFonts w:hint="eastAsia"/>
        </w:rPr>
        <w:t>入口访问当前主库。</w:t>
      </w:r>
    </w:p>
    <w:p w14:paraId="39639D06">
      <w:pPr>
        <w:numPr>
          <w:ilvl w:val="0"/>
          <w:numId w:val="17"/>
        </w:numPr>
      </w:pPr>
      <w:r>
        <w:rPr>
          <w:rFonts w:hint="eastAsia"/>
        </w:rPr>
        <w:t>只读查询通过</w:t>
      </w:r>
      <w:r>
        <w:t xml:space="preserve"> RO </w:t>
      </w:r>
      <w:r>
        <w:rPr>
          <w:rFonts w:hint="eastAsia"/>
        </w:rPr>
        <w:t>入口访问热备库。</w:t>
      </w:r>
    </w:p>
    <w:p w14:paraId="308724C8">
      <w:pPr>
        <w:numPr>
          <w:ilvl w:val="0"/>
          <w:numId w:val="17"/>
        </w:numPr>
      </w:pPr>
      <w:r>
        <w:rPr>
          <w:rFonts w:hint="eastAsia"/>
        </w:rPr>
        <w:t>如备库不可用，</w:t>
      </w:r>
      <w:r>
        <w:t xml:space="preserve">RO </w:t>
      </w:r>
      <w:r>
        <w:rPr>
          <w:rFonts w:hint="eastAsia"/>
        </w:rPr>
        <w:t>入口可根据策略降级转发到主库或暂时关闭。</w:t>
      </w:r>
    </w:p>
    <w:p w14:paraId="26C18DB6">
      <w:pPr>
        <w:numPr>
          <w:ilvl w:val="0"/>
          <w:numId w:val="17"/>
        </w:numPr>
      </w:pPr>
      <w:r>
        <w:rPr>
          <w:rFonts w:hint="eastAsia"/>
        </w:rPr>
        <w:t>应用需在代码或配置层明确区分读写连接场景。</w:t>
      </w:r>
    </w:p>
    <w:bookmarkEnd w:id="49"/>
    <w:bookmarkEnd w:id="51"/>
    <w:p w14:paraId="1EE68383">
      <w:pPr>
        <w:pStyle w:val="4"/>
      </w:pPr>
      <w:bookmarkStart w:id="52" w:name="推荐选型结论"/>
      <w:r>
        <w:rPr>
          <w:rFonts w:hint="eastAsia"/>
        </w:rPr>
        <w:t>推荐选型结论</w:t>
      </w:r>
    </w:p>
    <w:p w14:paraId="5F389BF1">
      <w:r>
        <w:rPr>
          <w:rFonts w:hint="eastAsia"/>
        </w:rPr>
        <w:t>对于福建水务营收系统当前阶段，建议优先采用“</w:t>
      </w:r>
      <w:r>
        <w:t>Patroni + HAProxy + PgBouncer</w:t>
      </w:r>
      <w:r>
        <w:rPr>
          <w:rFonts w:hint="eastAsia"/>
        </w:rPr>
        <w:t>”组合，并采用“统一读写入口”模式上线。待系统稳定运行后，再根据报表与统计查询压力评估是否扩展为“读写分离入口”模式。</w:t>
      </w:r>
    </w:p>
    <w:bookmarkEnd w:id="52"/>
    <w:p w14:paraId="65611F2A">
      <w:pPr>
        <w:pStyle w:val="4"/>
      </w:pPr>
      <w:bookmarkStart w:id="53" w:name="haproxy-示例配置"/>
      <w:r>
        <w:t xml:space="preserve">HAProxy </w:t>
      </w:r>
      <w:r>
        <w:rPr>
          <w:rFonts w:hint="eastAsia"/>
        </w:rPr>
        <w:t>示例配置</w:t>
      </w:r>
    </w:p>
    <w:p w14:paraId="4367C8BE">
      <w:r>
        <w:rPr>
          <w:rFonts w:hint="eastAsia"/>
        </w:rPr>
        <w:t>以下配置仅用于说明读写入口代理思路，实际参数应由项目环境统一配置并纳入变更管理。</w:t>
      </w:r>
    </w:p>
    <w:p w14:paraId="005FE258">
      <w:pPr>
        <w:pStyle w:val="75"/>
      </w:pPr>
      <w:r>
        <w:t>global</w:t>
      </w:r>
      <w:r>
        <w:br w:type="textWrapping"/>
      </w:r>
      <w:r>
        <w:t xml:space="preserve">    log 127.0.0.1 local0</w:t>
      </w:r>
      <w:r>
        <w:br w:type="textWrapping"/>
      </w:r>
      <w:r>
        <w:t xml:space="preserve">    maxconn 20000</w:t>
      </w:r>
      <w:r>
        <w:br w:type="textWrapping"/>
      </w:r>
      <w:r>
        <w:br w:type="textWrapping"/>
      </w:r>
      <w:r>
        <w:t>defaults</w:t>
      </w:r>
      <w:r>
        <w:br w:type="textWrapping"/>
      </w:r>
      <w:r>
        <w:t xml:space="preserve">    log global</w:t>
      </w:r>
      <w:r>
        <w:br w:type="textWrapping"/>
      </w:r>
      <w:r>
        <w:t xml:space="preserve">    mode tcp</w:t>
      </w:r>
      <w:r>
        <w:br w:type="textWrapping"/>
      </w:r>
      <w:r>
        <w:t xml:space="preserve">    timeout connect 5s</w:t>
      </w:r>
      <w:r>
        <w:br w:type="textWrapping"/>
      </w:r>
      <w:r>
        <w:t xml:space="preserve">    timeout client  1m</w:t>
      </w:r>
      <w:r>
        <w:br w:type="textWrapping"/>
      </w:r>
      <w:r>
        <w:t xml:space="preserve">    timeout server  1m</w:t>
      </w:r>
      <w:r>
        <w:br w:type="textWrapping"/>
      </w:r>
      <w:r>
        <w:br w:type="textWrapping"/>
      </w:r>
      <w:r>
        <w:t>frontend pg_rw</w:t>
      </w:r>
      <w:r>
        <w:br w:type="textWrapping"/>
      </w:r>
      <w:r>
        <w:t xml:space="preserve">    bind *:5000</w:t>
      </w:r>
      <w:r>
        <w:br w:type="textWrapping"/>
      </w:r>
      <w:r>
        <w:t xml:space="preserve">    default_backend pg_primary</w:t>
      </w:r>
      <w:r>
        <w:br w:type="textWrapping"/>
      </w:r>
      <w:r>
        <w:br w:type="textWrapping"/>
      </w:r>
      <w:r>
        <w:t>backend pg_primary</w:t>
      </w:r>
      <w:r>
        <w:br w:type="textWrapping"/>
      </w:r>
      <w:r>
        <w:t xml:space="preserve">    option tcp-check</w:t>
      </w:r>
      <w:r>
        <w:br w:type="textWrapping"/>
      </w:r>
      <w:r>
        <w:t xml:space="preserve">    default-server inter 3s fall 3 rise 2 on-marked-down shutdown-sessions</w:t>
      </w:r>
      <w:r>
        <w:br w:type="textWrapping"/>
      </w:r>
      <w:r>
        <w:t xml:space="preserve">    server pg01 10.0.0.11:5432 check</w:t>
      </w:r>
      <w:r>
        <w:br w:type="textWrapping"/>
      </w:r>
      <w:r>
        <w:t xml:space="preserve">    server pg02 10.0.0.12:5432 check backup</w:t>
      </w:r>
    </w:p>
    <w:p w14:paraId="37BA8760">
      <w:r>
        <w:rPr>
          <w:rFonts w:hint="eastAsia"/>
        </w:rPr>
        <w:t>配置说明：</w:t>
      </w:r>
    </w:p>
    <w:p w14:paraId="0D3D0BC9">
      <w:pPr>
        <w:numPr>
          <w:ilvl w:val="0"/>
          <w:numId w:val="18"/>
        </w:numPr>
      </w:pPr>
      <w:r>
        <w:rPr>
          <w:rFonts w:hint="eastAsia"/>
        </w:rPr>
        <w:t>应用不直接连接</w:t>
      </w:r>
      <w:r>
        <w:t xml:space="preserve"> PostgreSQL </w:t>
      </w:r>
      <w:r>
        <w:rPr>
          <w:rFonts w:hint="eastAsia"/>
        </w:rPr>
        <w:t>5432，而是连接</w:t>
      </w:r>
      <w:r>
        <w:t xml:space="preserve"> HAProxy </w:t>
      </w:r>
      <w:r>
        <w:rPr>
          <w:rFonts w:hint="eastAsia"/>
        </w:rPr>
        <w:t>暴露的</w:t>
      </w:r>
      <w:r>
        <w:t xml:space="preserve"> 5000 </w:t>
      </w:r>
      <w:r>
        <w:rPr>
          <w:rFonts w:hint="eastAsia"/>
        </w:rPr>
        <w:t>端口。</w:t>
      </w:r>
    </w:p>
    <w:p w14:paraId="2C1BAAAE">
      <w:pPr>
        <w:numPr>
          <w:ilvl w:val="0"/>
          <w:numId w:val="18"/>
        </w:numPr>
      </w:pPr>
      <w:r>
        <w:t xml:space="preserve">pg01 </w:t>
      </w:r>
      <w:r>
        <w:rPr>
          <w:rFonts w:hint="eastAsia"/>
        </w:rPr>
        <w:t>为当前主库，</w:t>
      </w:r>
      <w:r>
        <w:t xml:space="preserve">pg02 </w:t>
      </w:r>
      <w:r>
        <w:rPr>
          <w:rFonts w:hint="eastAsia"/>
        </w:rPr>
        <w:t>为备库。</w:t>
      </w:r>
    </w:p>
    <w:p w14:paraId="5031EA8D">
      <w:pPr>
        <w:numPr>
          <w:ilvl w:val="0"/>
          <w:numId w:val="18"/>
        </w:numPr>
      </w:pPr>
      <w:r>
        <w:rPr>
          <w:rFonts w:hint="eastAsia"/>
        </w:rPr>
        <w:t>主库不可用时，代理层将连接切换至备用节点。</w:t>
      </w:r>
    </w:p>
    <w:p w14:paraId="40C3C253">
      <w:pPr>
        <w:numPr>
          <w:ilvl w:val="0"/>
          <w:numId w:val="18"/>
        </w:numPr>
      </w:pPr>
      <w:r>
        <w:rPr>
          <w:rFonts w:hint="eastAsia"/>
        </w:rPr>
        <w:t>正式环境建议结合</w:t>
      </w:r>
      <w:r>
        <w:t xml:space="preserve"> Patroni REST </w:t>
      </w:r>
      <w:r>
        <w:rPr>
          <w:rFonts w:hint="eastAsia"/>
        </w:rPr>
        <w:t>状态接口配置更准确的主备健康检查，而非仅做普通</w:t>
      </w:r>
      <w:r>
        <w:t xml:space="preserve"> TCP </w:t>
      </w:r>
      <w:r>
        <w:rPr>
          <w:rFonts w:hint="eastAsia"/>
        </w:rPr>
        <w:t>存活检查。</w:t>
      </w:r>
    </w:p>
    <w:bookmarkEnd w:id="53"/>
    <w:p w14:paraId="762F2651">
      <w:pPr>
        <w:pStyle w:val="4"/>
      </w:pPr>
      <w:bookmarkStart w:id="54" w:name="pgbouncer-示例配置"/>
      <w:r>
        <w:t xml:space="preserve">PgBouncer </w:t>
      </w:r>
      <w:r>
        <w:rPr>
          <w:rFonts w:hint="eastAsia"/>
        </w:rPr>
        <w:t>示例配置</w:t>
      </w:r>
    </w:p>
    <w:p w14:paraId="37133C16">
      <w:r>
        <w:rPr>
          <w:rFonts w:hint="eastAsia"/>
        </w:rPr>
        <w:t>以下配置仅用于说明连接池配置思路，实际参数应由项目环境统一配置并纳入变更管理。</w:t>
      </w:r>
    </w:p>
    <w:p w14:paraId="5353F5E5">
      <w:pPr>
        <w:pStyle w:val="75"/>
      </w:pPr>
      <w:r>
        <w:rPr>
          <w:rStyle w:val="76"/>
        </w:rPr>
        <w:t>[databases]</w:t>
      </w:r>
      <w:r>
        <w:br w:type="textWrapping"/>
      </w:r>
      <w:r>
        <w:rPr>
          <w:rStyle w:val="77"/>
        </w:rPr>
        <w:t xml:space="preserve">waterdb </w:t>
      </w:r>
      <w:r>
        <w:rPr>
          <w:rStyle w:val="92"/>
        </w:rPr>
        <w:t>=</w:t>
      </w:r>
      <w:r>
        <w:rPr>
          <w:rStyle w:val="84"/>
        </w:rPr>
        <w:t xml:space="preserve"> host=10.0.0.20 port=5000 dbname=waterdb</w:t>
      </w:r>
      <w:r>
        <w:br w:type="textWrapping"/>
      </w:r>
      <w:r>
        <w:br w:type="textWrapping"/>
      </w:r>
      <w:r>
        <w:rPr>
          <w:rStyle w:val="76"/>
        </w:rPr>
        <w:t>[pgbouncer]</w:t>
      </w:r>
      <w:r>
        <w:br w:type="textWrapping"/>
      </w:r>
      <w:r>
        <w:rPr>
          <w:rStyle w:val="77"/>
        </w:rPr>
        <w:t xml:space="preserve">listen_addr </w:t>
      </w:r>
      <w:r>
        <w:rPr>
          <w:rStyle w:val="92"/>
        </w:rPr>
        <w:t>=</w:t>
      </w:r>
      <w:r>
        <w:rPr>
          <w:rStyle w:val="84"/>
        </w:rPr>
        <w:t xml:space="preserve"> 0.0.0.0</w:t>
      </w:r>
      <w:r>
        <w:br w:type="textWrapping"/>
      </w:r>
      <w:r>
        <w:rPr>
          <w:rStyle w:val="77"/>
        </w:rPr>
        <w:t xml:space="preserve">listen_port </w:t>
      </w:r>
      <w:r>
        <w:rPr>
          <w:rStyle w:val="92"/>
        </w:rPr>
        <w:t>=</w:t>
      </w:r>
      <w:r>
        <w:rPr>
          <w:rStyle w:val="84"/>
        </w:rPr>
        <w:t xml:space="preserve"> </w:t>
      </w:r>
      <w:r>
        <w:rPr>
          <w:rStyle w:val="78"/>
        </w:rPr>
        <w:t>6432</w:t>
      </w:r>
      <w:r>
        <w:br w:type="textWrapping"/>
      </w:r>
      <w:r>
        <w:rPr>
          <w:rStyle w:val="77"/>
        </w:rPr>
        <w:t xml:space="preserve">auth_type </w:t>
      </w:r>
      <w:r>
        <w:rPr>
          <w:rStyle w:val="92"/>
        </w:rPr>
        <w:t>=</w:t>
      </w:r>
      <w:r>
        <w:rPr>
          <w:rStyle w:val="84"/>
        </w:rPr>
        <w:t xml:space="preserve"> md5</w:t>
      </w:r>
      <w:r>
        <w:br w:type="textWrapping"/>
      </w:r>
      <w:r>
        <w:rPr>
          <w:rStyle w:val="77"/>
        </w:rPr>
        <w:t xml:space="preserve">auth_file </w:t>
      </w:r>
      <w:r>
        <w:rPr>
          <w:rStyle w:val="92"/>
        </w:rPr>
        <w:t>=</w:t>
      </w:r>
      <w:r>
        <w:rPr>
          <w:rStyle w:val="84"/>
        </w:rPr>
        <w:t xml:space="preserve"> /etc/pgbouncer/userlist.txt</w:t>
      </w:r>
      <w:r>
        <w:br w:type="textWrapping"/>
      </w:r>
      <w:r>
        <w:rPr>
          <w:rStyle w:val="77"/>
        </w:rPr>
        <w:t xml:space="preserve">pool_mode </w:t>
      </w:r>
      <w:r>
        <w:rPr>
          <w:rStyle w:val="92"/>
        </w:rPr>
        <w:t>=</w:t>
      </w:r>
      <w:r>
        <w:rPr>
          <w:rStyle w:val="84"/>
        </w:rPr>
        <w:t xml:space="preserve"> transaction</w:t>
      </w:r>
      <w:r>
        <w:br w:type="textWrapping"/>
      </w:r>
      <w:r>
        <w:rPr>
          <w:rStyle w:val="77"/>
        </w:rPr>
        <w:t xml:space="preserve">max_client_conn </w:t>
      </w:r>
      <w:r>
        <w:rPr>
          <w:rStyle w:val="92"/>
        </w:rPr>
        <w:t>=</w:t>
      </w:r>
      <w:r>
        <w:rPr>
          <w:rStyle w:val="84"/>
        </w:rPr>
        <w:t xml:space="preserve"> </w:t>
      </w:r>
      <w:r>
        <w:rPr>
          <w:rStyle w:val="78"/>
        </w:rPr>
        <w:t>5000</w:t>
      </w:r>
      <w:r>
        <w:br w:type="textWrapping"/>
      </w:r>
      <w:r>
        <w:rPr>
          <w:rStyle w:val="77"/>
        </w:rPr>
        <w:t xml:space="preserve">default_pool_size </w:t>
      </w:r>
      <w:r>
        <w:rPr>
          <w:rStyle w:val="92"/>
        </w:rPr>
        <w:t>=</w:t>
      </w:r>
      <w:r>
        <w:rPr>
          <w:rStyle w:val="84"/>
        </w:rPr>
        <w:t xml:space="preserve"> </w:t>
      </w:r>
      <w:r>
        <w:rPr>
          <w:rStyle w:val="78"/>
        </w:rPr>
        <w:t>100</w:t>
      </w:r>
      <w:r>
        <w:br w:type="textWrapping"/>
      </w:r>
      <w:r>
        <w:rPr>
          <w:rStyle w:val="77"/>
        </w:rPr>
        <w:t xml:space="preserve">reserve_pool_size </w:t>
      </w:r>
      <w:r>
        <w:rPr>
          <w:rStyle w:val="92"/>
        </w:rPr>
        <w:t>=</w:t>
      </w:r>
      <w:r>
        <w:rPr>
          <w:rStyle w:val="84"/>
        </w:rPr>
        <w:t xml:space="preserve"> </w:t>
      </w:r>
      <w:r>
        <w:rPr>
          <w:rStyle w:val="78"/>
        </w:rPr>
        <w:t>20</w:t>
      </w:r>
      <w:r>
        <w:br w:type="textWrapping"/>
      </w:r>
      <w:r>
        <w:rPr>
          <w:rStyle w:val="77"/>
        </w:rPr>
        <w:t xml:space="preserve">server_reset_query </w:t>
      </w:r>
      <w:r>
        <w:rPr>
          <w:rStyle w:val="92"/>
        </w:rPr>
        <w:t>=</w:t>
      </w:r>
      <w:r>
        <w:rPr>
          <w:rStyle w:val="84"/>
        </w:rPr>
        <w:t xml:space="preserve"> DISCARD ALL</w:t>
      </w:r>
      <w:r>
        <w:br w:type="textWrapping"/>
      </w:r>
      <w:r>
        <w:rPr>
          <w:rStyle w:val="77"/>
        </w:rPr>
        <w:t xml:space="preserve">ignore_startup_parameters </w:t>
      </w:r>
      <w:r>
        <w:rPr>
          <w:rStyle w:val="92"/>
        </w:rPr>
        <w:t>=</w:t>
      </w:r>
      <w:r>
        <w:rPr>
          <w:rStyle w:val="84"/>
        </w:rPr>
        <w:t xml:space="preserve"> extra_float_digits</w:t>
      </w:r>
    </w:p>
    <w:p w14:paraId="17FC4E2F">
      <w:r>
        <w:rPr>
          <w:rFonts w:hint="eastAsia"/>
        </w:rPr>
        <w:t>配置说明：</w:t>
      </w:r>
    </w:p>
    <w:p w14:paraId="15A7D4D2">
      <w:pPr>
        <w:numPr>
          <w:ilvl w:val="0"/>
          <w:numId w:val="19"/>
        </w:numPr>
      </w:pPr>
      <w:r>
        <w:rPr>
          <w:rFonts w:hint="eastAsia"/>
        </w:rPr>
        <w:t>应用系统统一连接</w:t>
      </w:r>
      <w:r>
        <w:t xml:space="preserve"> PgBouncer </w:t>
      </w:r>
      <w:r>
        <w:rPr>
          <w:rFonts w:hint="eastAsia"/>
        </w:rPr>
        <w:t>的</w:t>
      </w:r>
      <w:r>
        <w:t xml:space="preserve"> 6432 </w:t>
      </w:r>
      <w:r>
        <w:rPr>
          <w:rFonts w:hint="eastAsia"/>
        </w:rPr>
        <w:t>端口。</w:t>
      </w:r>
    </w:p>
    <w:p w14:paraId="521605ED">
      <w:pPr>
        <w:numPr>
          <w:ilvl w:val="0"/>
          <w:numId w:val="19"/>
        </w:numPr>
      </w:pPr>
      <w:r>
        <w:t xml:space="preserve">PgBouncer </w:t>
      </w:r>
      <w:r>
        <w:rPr>
          <w:rFonts w:hint="eastAsia"/>
        </w:rPr>
        <w:t>后端目标不是数据库主机，而是</w:t>
      </w:r>
      <w:r>
        <w:t xml:space="preserve"> HAProxy </w:t>
      </w:r>
      <w:r>
        <w:rPr>
          <w:rFonts w:hint="eastAsia"/>
        </w:rPr>
        <w:t>的读写入口地址。</w:t>
      </w:r>
    </w:p>
    <w:p w14:paraId="54230F73">
      <w:pPr>
        <w:numPr>
          <w:ilvl w:val="0"/>
          <w:numId w:val="19"/>
        </w:numPr>
      </w:pPr>
      <w:r>
        <w:rPr>
          <w:rFonts w:hint="eastAsia"/>
        </w:rPr>
        <w:t>推荐优先采用</w:t>
      </w:r>
      <w:r>
        <w:t xml:space="preserve"> transaction </w:t>
      </w:r>
      <w:r>
        <w:rPr>
          <w:rFonts w:hint="eastAsia"/>
        </w:rPr>
        <w:t>池化模式，以提升连接复用效率。</w:t>
      </w:r>
    </w:p>
    <w:p w14:paraId="6DC3DFD7">
      <w:pPr>
        <w:numPr>
          <w:ilvl w:val="0"/>
          <w:numId w:val="19"/>
        </w:numPr>
      </w:pPr>
      <w:r>
        <w:rPr>
          <w:rFonts w:hint="eastAsia"/>
        </w:rPr>
        <w:t>如存在依赖会话级状态的特殊业务，应专项评估是否改用</w:t>
      </w:r>
      <w:r>
        <w:t xml:space="preserve"> session </w:t>
      </w:r>
      <w:r>
        <w:rPr>
          <w:rFonts w:hint="eastAsia"/>
        </w:rPr>
        <w:t>模式。</w:t>
      </w:r>
    </w:p>
    <w:bookmarkEnd w:id="54"/>
    <w:p w14:paraId="62B038A9">
      <w:pPr>
        <w:pStyle w:val="4"/>
      </w:pPr>
      <w:bookmarkStart w:id="55" w:name="应用接入建议"/>
      <w:r>
        <w:rPr>
          <w:rFonts w:hint="eastAsia"/>
        </w:rPr>
        <w:t>应用接入建议</w:t>
      </w:r>
    </w:p>
    <w:p w14:paraId="20AC023A">
      <w:r>
        <w:rPr>
          <w:rFonts w:hint="eastAsia"/>
        </w:rPr>
        <w:t>对于当前项目的</w:t>
      </w:r>
      <w:r>
        <w:t xml:space="preserve"> 4 </w:t>
      </w:r>
      <w:r>
        <w:rPr>
          <w:rFonts w:hint="eastAsia"/>
        </w:rPr>
        <w:t>台应用服务器集群，不建议在每台应用服务器上分别配置数据库主机地址切换逻辑。推荐做法如下：</w:t>
      </w:r>
    </w:p>
    <w:p w14:paraId="625541AE">
      <w:pPr>
        <w:numPr>
          <w:ilvl w:val="0"/>
          <w:numId w:val="20"/>
        </w:numPr>
      </w:pPr>
      <w:r>
        <w:rPr>
          <w:rFonts w:hint="eastAsia"/>
        </w:rPr>
        <w:t>应用配置文件统一写入数据库代理地址，不写数据库物理主机</w:t>
      </w:r>
      <w:r>
        <w:t xml:space="preserve"> IP。</w:t>
      </w:r>
    </w:p>
    <w:p w14:paraId="0C863C03">
      <w:pPr>
        <w:numPr>
          <w:ilvl w:val="0"/>
          <w:numId w:val="20"/>
        </w:numPr>
      </w:pPr>
      <w:r>
        <w:rPr>
          <w:rFonts w:hint="eastAsia"/>
        </w:rPr>
        <w:t>生产环境统一维护一个数据库接入地址，例如</w:t>
      </w:r>
      <w:r>
        <w:t xml:space="preserve"> db-rw.xxx.local:6432。</w:t>
      </w:r>
    </w:p>
    <w:p w14:paraId="75E9D2BB">
      <w:pPr>
        <w:numPr>
          <w:ilvl w:val="0"/>
          <w:numId w:val="20"/>
        </w:numPr>
      </w:pPr>
      <w:r>
        <w:rPr>
          <w:rFonts w:hint="eastAsia"/>
        </w:rPr>
        <w:t>所有应用节点使用同一连接地址接入，由代理层完成后端数据库节点切换。</w:t>
      </w:r>
    </w:p>
    <w:p w14:paraId="6BAD89FA">
      <w:pPr>
        <w:numPr>
          <w:ilvl w:val="0"/>
          <w:numId w:val="20"/>
        </w:numPr>
      </w:pPr>
      <w:r>
        <w:rPr>
          <w:rFonts w:hint="eastAsia"/>
        </w:rPr>
        <w:t>如后续启用读写分离，再增加只读接入地址，例如</w:t>
      </w:r>
      <w:r>
        <w:t xml:space="preserve"> db-ro.xxx.local:6432。</w:t>
      </w:r>
    </w:p>
    <w:bookmarkEnd w:id="55"/>
    <w:p w14:paraId="354AD634">
      <w:pPr>
        <w:pStyle w:val="4"/>
      </w:pPr>
      <w:bookmarkStart w:id="56" w:name="切换时的接入逻辑"/>
      <w:r>
        <w:rPr>
          <w:rFonts w:hint="eastAsia"/>
        </w:rPr>
        <w:t>切换时的接入逻辑</w:t>
      </w:r>
    </w:p>
    <w:p w14:paraId="1C6A3726">
      <w:r>
        <w:rPr>
          <w:rFonts w:hint="eastAsia"/>
        </w:rPr>
        <w:t>当主库发生故障或进行计划切换时，推荐接入逻辑如下：</w:t>
      </w:r>
    </w:p>
    <w:p w14:paraId="27134B39">
      <w:pPr>
        <w:numPr>
          <w:ilvl w:val="0"/>
          <w:numId w:val="21"/>
        </w:numPr>
      </w:pPr>
      <w:r>
        <w:t xml:space="preserve">Patroni </w:t>
      </w:r>
      <w:r>
        <w:rPr>
          <w:rFonts w:hint="eastAsia"/>
        </w:rPr>
        <w:t>判定新的主库节点。</w:t>
      </w:r>
    </w:p>
    <w:p w14:paraId="372FA4E8">
      <w:pPr>
        <w:numPr>
          <w:ilvl w:val="0"/>
          <w:numId w:val="21"/>
        </w:numPr>
      </w:pPr>
      <w:r>
        <w:t xml:space="preserve">HAProxy </w:t>
      </w:r>
      <w:r>
        <w:rPr>
          <w:rFonts w:hint="eastAsia"/>
        </w:rPr>
        <w:t>将读写入口转发目标切换至新主库。</w:t>
      </w:r>
    </w:p>
    <w:p w14:paraId="4E18AA61">
      <w:pPr>
        <w:numPr>
          <w:ilvl w:val="0"/>
          <w:numId w:val="21"/>
        </w:numPr>
      </w:pPr>
      <w:r>
        <w:t xml:space="preserve">PgBouncer </w:t>
      </w:r>
      <w:r>
        <w:rPr>
          <w:rFonts w:hint="eastAsia"/>
        </w:rPr>
        <w:t>清理失效后端连接并重建到新主库的连接。</w:t>
      </w:r>
    </w:p>
    <w:p w14:paraId="0DB6C5E2">
      <w:pPr>
        <w:numPr>
          <w:ilvl w:val="0"/>
          <w:numId w:val="21"/>
        </w:numPr>
      </w:pPr>
      <w:r>
        <w:rPr>
          <w:rFonts w:hint="eastAsia"/>
        </w:rPr>
        <w:t>应用系统通过连接池重试机制继续访问统一代理地址。</w:t>
      </w:r>
    </w:p>
    <w:p w14:paraId="5823E928">
      <w:r>
        <w:rPr>
          <w:rFonts w:hint="eastAsia"/>
        </w:rPr>
        <w:t>在该机制下，应用系统通常无需修改数据库配置，仅在切换瞬间可能出现极短暂连接重试或少量请求失败，恢复后可继续正常提供服务。</w:t>
      </w:r>
    </w:p>
    <w:bookmarkEnd w:id="56"/>
    <w:p w14:paraId="56CB39F8">
      <w:pPr>
        <w:pStyle w:val="4"/>
      </w:pPr>
      <w:bookmarkStart w:id="57" w:name="正式文档建议表述"/>
      <w:r>
        <w:rPr>
          <w:rFonts w:hint="eastAsia"/>
        </w:rPr>
        <w:t>正式文档建议表述</w:t>
      </w:r>
    </w:p>
    <w:p w14:paraId="002A0680">
      <w:r>
        <w:rPr>
          <w:rFonts w:hint="eastAsia"/>
        </w:rPr>
        <w:t>为保障福建水务营收系统数据库主备切换时应用系统的连续接入能力，数据库访问层宜采用“Patroni</w:t>
      </w:r>
      <w:r>
        <w:t xml:space="preserve"> </w:t>
      </w:r>
      <w:r>
        <w:rPr>
          <w:rFonts w:hint="eastAsia"/>
        </w:rPr>
        <w:t>负责主备选举、HAProxy</w:t>
      </w:r>
      <w:r>
        <w:t xml:space="preserve"> </w:t>
      </w:r>
      <w:r>
        <w:rPr>
          <w:rFonts w:hint="eastAsia"/>
        </w:rPr>
        <w:t>负责访问转发、PgBouncer</w:t>
      </w:r>
      <w:r>
        <w:t xml:space="preserve"> </w:t>
      </w:r>
      <w:r>
        <w:rPr>
          <w:rFonts w:hint="eastAsia"/>
        </w:rPr>
        <w:t>负责连接池管理”的组合架构。应用系统统一通过数据库代理地址访问数据库，不直接连接数据库物理节点；当主库故障或发生计划切换时，由代理层自动将访问流量切换至新的主库节点，从而实现应用侧最小感知切换。</w:t>
      </w:r>
    </w:p>
    <w:bookmarkEnd w:id="46"/>
    <w:bookmarkEnd w:id="57"/>
    <w:p w14:paraId="623FF351">
      <w:pPr>
        <w:pStyle w:val="3"/>
      </w:pPr>
      <w:bookmarkStart w:id="58" w:name="_Toc634089238"/>
      <w:bookmarkStart w:id="59" w:name="部署实施说明"/>
      <w:r>
        <w:rPr>
          <w:rFonts w:hint="eastAsia"/>
        </w:rPr>
        <w:t>部署实施说明</w:t>
      </w:r>
      <w:bookmarkEnd w:id="58"/>
    </w:p>
    <w:p w14:paraId="27B0088D">
      <w:pPr>
        <w:pStyle w:val="4"/>
      </w:pPr>
      <w:bookmarkStart w:id="60" w:name="部署原则"/>
      <w:r>
        <w:rPr>
          <w:rFonts w:hint="eastAsia"/>
        </w:rPr>
        <w:t>部署原则</w:t>
      </w:r>
    </w:p>
    <w:p w14:paraId="6DF897A0">
      <w:pPr>
        <w:numPr>
          <w:ilvl w:val="0"/>
          <w:numId w:val="22"/>
        </w:numPr>
      </w:pPr>
      <w:r>
        <w:rPr>
          <w:rFonts w:hint="eastAsia"/>
        </w:rPr>
        <w:t>主库与同城备库不得部署在同一物理主机。</w:t>
      </w:r>
    </w:p>
    <w:p w14:paraId="6FA3660D">
      <w:pPr>
        <w:numPr>
          <w:ilvl w:val="0"/>
          <w:numId w:val="22"/>
        </w:numPr>
      </w:pPr>
      <w:r>
        <w:rPr>
          <w:rFonts w:hint="eastAsia"/>
        </w:rPr>
        <w:t>同城备库宜部署在独立机柜、独立电源域或独立可用区。</w:t>
      </w:r>
    </w:p>
    <w:p w14:paraId="1B2DEF62">
      <w:pPr>
        <w:numPr>
          <w:ilvl w:val="0"/>
          <w:numId w:val="22"/>
        </w:numPr>
      </w:pPr>
      <w:r>
        <w:rPr>
          <w:rFonts w:hint="eastAsia"/>
        </w:rPr>
        <w:t>异地灾备节点宜部署在独立数据中心，避免与生产中心共用故障域。</w:t>
      </w:r>
    </w:p>
    <w:p w14:paraId="21392BDB">
      <w:pPr>
        <w:numPr>
          <w:ilvl w:val="0"/>
          <w:numId w:val="22"/>
        </w:numPr>
      </w:pPr>
      <w:r>
        <w:rPr>
          <w:rFonts w:hint="eastAsia"/>
        </w:rPr>
        <w:t>备份归档存储应与数据库节点分离部署。</w:t>
      </w:r>
    </w:p>
    <w:bookmarkEnd w:id="60"/>
    <w:p w14:paraId="3ECFFB2C">
      <w:pPr>
        <w:pStyle w:val="4"/>
      </w:pPr>
      <w:bookmarkStart w:id="61" w:name="组件部署说明"/>
      <w:r>
        <w:rPr>
          <w:rFonts w:hint="eastAsia"/>
        </w:rPr>
        <w:t>组件部署说明</w:t>
      </w:r>
    </w:p>
    <w:p w14:paraId="08BD1C8A">
      <w:pPr>
        <w:numPr>
          <w:ilvl w:val="0"/>
          <w:numId w:val="23"/>
        </w:numPr>
      </w:pPr>
      <w:r>
        <w:rPr>
          <w:rFonts w:hint="eastAsia"/>
        </w:rPr>
        <w:t>主库节点：部署</w:t>
      </w:r>
      <w:r>
        <w:t xml:space="preserve"> PostgreSQL 16 </w:t>
      </w:r>
      <w:r>
        <w:rPr>
          <w:rFonts w:hint="eastAsia"/>
        </w:rPr>
        <w:t>主实例，承担生产写入。</w:t>
      </w:r>
    </w:p>
    <w:p w14:paraId="6EABD2F7">
      <w:pPr>
        <w:numPr>
          <w:ilvl w:val="0"/>
          <w:numId w:val="23"/>
        </w:numPr>
      </w:pPr>
      <w:r>
        <w:rPr>
          <w:rFonts w:hint="eastAsia"/>
        </w:rPr>
        <w:t>备库节点：部署</w:t>
      </w:r>
      <w:r>
        <w:t xml:space="preserve"> PostgreSQL 16 </w:t>
      </w:r>
      <w:r>
        <w:rPr>
          <w:rFonts w:hint="eastAsia"/>
        </w:rPr>
        <w:t>备用实例，通过流复制接收主库</w:t>
      </w:r>
      <w:r>
        <w:t xml:space="preserve"> WAL。</w:t>
      </w:r>
    </w:p>
    <w:p w14:paraId="07A8FF91">
      <w:pPr>
        <w:numPr>
          <w:ilvl w:val="0"/>
          <w:numId w:val="23"/>
        </w:numPr>
      </w:pPr>
      <w:r>
        <w:rPr>
          <w:rFonts w:hint="eastAsia"/>
        </w:rPr>
        <w:t>备份节点或备份存储：保存基础备份、WAL</w:t>
      </w:r>
      <w:r>
        <w:t xml:space="preserve"> </w:t>
      </w:r>
      <w:r>
        <w:rPr>
          <w:rFonts w:hint="eastAsia"/>
        </w:rPr>
        <w:t>归档和恢复校验文件。</w:t>
      </w:r>
    </w:p>
    <w:p w14:paraId="2D964F0F">
      <w:pPr>
        <w:numPr>
          <w:ilvl w:val="0"/>
          <w:numId w:val="23"/>
        </w:numPr>
      </w:pPr>
      <w:r>
        <w:rPr>
          <w:rFonts w:hint="eastAsia"/>
        </w:rPr>
        <w:t>管理与监控节点：部署</w:t>
      </w:r>
      <w:r>
        <w:t xml:space="preserve"> PostgreSQL </w:t>
      </w:r>
      <w:r>
        <w:rPr>
          <w:rFonts w:hint="eastAsia"/>
        </w:rPr>
        <w:t>监控、备份调度、告警和巡检组件。</w:t>
      </w:r>
    </w:p>
    <w:bookmarkEnd w:id="61"/>
    <w:p w14:paraId="29820269">
      <w:pPr>
        <w:pStyle w:val="4"/>
      </w:pPr>
      <w:bookmarkStart w:id="62" w:name="软件部署建议"/>
      <w:r>
        <w:rPr>
          <w:rFonts w:hint="eastAsia"/>
        </w:rPr>
        <w:t>软件部署建议</w:t>
      </w:r>
    </w:p>
    <w:p w14:paraId="55AAC40D">
      <w:pPr>
        <w:numPr>
          <w:ilvl w:val="0"/>
          <w:numId w:val="24"/>
        </w:numPr>
      </w:pPr>
      <w:r>
        <w:rPr>
          <w:rFonts w:hint="eastAsia"/>
        </w:rPr>
        <w:t>操作系统宜采用稳定版</w:t>
      </w:r>
      <w:r>
        <w:t xml:space="preserve"> Linux </w:t>
      </w:r>
      <w:r>
        <w:rPr>
          <w:rFonts w:hint="eastAsia"/>
        </w:rPr>
        <w:t>发行版。</w:t>
      </w:r>
    </w:p>
    <w:p w14:paraId="24D75273">
      <w:pPr>
        <w:numPr>
          <w:ilvl w:val="0"/>
          <w:numId w:val="24"/>
        </w:numPr>
      </w:pPr>
      <w:r>
        <w:rPr>
          <w:rFonts w:hint="eastAsia"/>
        </w:rPr>
        <w:t>数据目录、WAL</w:t>
      </w:r>
      <w:r>
        <w:t xml:space="preserve"> </w:t>
      </w:r>
      <w:r>
        <w:rPr>
          <w:rFonts w:hint="eastAsia"/>
        </w:rPr>
        <w:t>目录、备份目录建议分盘或分卷部署。</w:t>
      </w:r>
    </w:p>
    <w:p w14:paraId="39B1261C">
      <w:pPr>
        <w:numPr>
          <w:ilvl w:val="0"/>
          <w:numId w:val="24"/>
        </w:numPr>
      </w:pPr>
      <w:r>
        <w:rPr>
          <w:rFonts w:hint="eastAsia"/>
        </w:rPr>
        <w:t>主备切换宜配套连接路由、VIP</w:t>
      </w:r>
      <w:r>
        <w:t xml:space="preserve"> </w:t>
      </w:r>
      <w:r>
        <w:rPr>
          <w:rFonts w:hint="eastAsia"/>
        </w:rPr>
        <w:t>或代理层能力，避免应用侧频繁修改连接地址。</w:t>
      </w:r>
    </w:p>
    <w:p w14:paraId="40EF2E37">
      <w:pPr>
        <w:numPr>
          <w:ilvl w:val="0"/>
          <w:numId w:val="24"/>
        </w:numPr>
      </w:pPr>
      <w:r>
        <w:rPr>
          <w:rFonts w:hint="eastAsia"/>
        </w:rPr>
        <w:t>生产环境应启用备份校验、归档校验和恢复演练机制。</w:t>
      </w:r>
    </w:p>
    <w:bookmarkEnd w:id="59"/>
    <w:bookmarkEnd w:id="62"/>
    <w:p w14:paraId="09417AC8">
      <w:pPr>
        <w:pStyle w:val="3"/>
      </w:pPr>
      <w:bookmarkStart w:id="63" w:name="_Toc1323966652"/>
      <w:bookmarkStart w:id="64" w:name="切换与恢复说明"/>
      <w:r>
        <w:rPr>
          <w:rFonts w:hint="eastAsia"/>
        </w:rPr>
        <w:t>切换与恢复说明</w:t>
      </w:r>
      <w:bookmarkEnd w:id="63"/>
    </w:p>
    <w:p w14:paraId="472AACBD">
      <w:pPr>
        <w:pStyle w:val="4"/>
      </w:pPr>
      <w:bookmarkStart w:id="65" w:name="故障切换"/>
      <w:r>
        <w:rPr>
          <w:rFonts w:hint="eastAsia"/>
        </w:rPr>
        <w:t>故障切换</w:t>
      </w:r>
    </w:p>
    <w:p w14:paraId="535B70A6">
      <w:pPr>
        <w:numPr>
          <w:ilvl w:val="0"/>
          <w:numId w:val="25"/>
        </w:numPr>
      </w:pPr>
      <w:r>
        <w:rPr>
          <w:rFonts w:hint="eastAsia"/>
        </w:rPr>
        <w:t>主库故障时，由同城备库提升为新主库。</w:t>
      </w:r>
    </w:p>
    <w:p w14:paraId="67ADFE4F">
      <w:pPr>
        <w:numPr>
          <w:ilvl w:val="0"/>
          <w:numId w:val="25"/>
        </w:numPr>
      </w:pPr>
      <w:r>
        <w:rPr>
          <w:rFonts w:hint="eastAsia"/>
        </w:rPr>
        <w:t>应用连接通过统一连接地址或代理切换到新主库。</w:t>
      </w:r>
    </w:p>
    <w:p w14:paraId="620BB594">
      <w:pPr>
        <w:numPr>
          <w:ilvl w:val="0"/>
          <w:numId w:val="25"/>
        </w:numPr>
      </w:pPr>
      <w:r>
        <w:rPr>
          <w:rFonts w:hint="eastAsia"/>
        </w:rPr>
        <w:t>原主库恢复后，应重新以备库身份加入复制体系。</w:t>
      </w:r>
    </w:p>
    <w:bookmarkEnd w:id="65"/>
    <w:p w14:paraId="49BB3A84">
      <w:pPr>
        <w:pStyle w:val="4"/>
      </w:pPr>
      <w:bookmarkStart w:id="66" w:name="数据恢复"/>
      <w:r>
        <w:rPr>
          <w:rFonts w:hint="eastAsia"/>
        </w:rPr>
        <w:t>数据恢复</w:t>
      </w:r>
    </w:p>
    <w:p w14:paraId="4F9AA48B">
      <w:pPr>
        <w:numPr>
          <w:ilvl w:val="0"/>
          <w:numId w:val="26"/>
        </w:numPr>
      </w:pPr>
      <w:r>
        <w:rPr>
          <w:rFonts w:hint="eastAsia"/>
        </w:rPr>
        <w:t>误删除、误更新或逻辑损坏场景，通过基础备份与</w:t>
      </w:r>
      <w:r>
        <w:t xml:space="preserve"> WAL </w:t>
      </w:r>
      <w:r>
        <w:rPr>
          <w:rFonts w:hint="eastAsia"/>
        </w:rPr>
        <w:t>归档执行</w:t>
      </w:r>
      <w:r>
        <w:t xml:space="preserve"> PITR </w:t>
      </w:r>
      <w:r>
        <w:rPr>
          <w:rFonts w:hint="eastAsia"/>
        </w:rPr>
        <w:t>时间点恢复。</w:t>
      </w:r>
    </w:p>
    <w:p w14:paraId="001AFE54">
      <w:pPr>
        <w:numPr>
          <w:ilvl w:val="0"/>
          <w:numId w:val="26"/>
        </w:numPr>
      </w:pPr>
      <w:r>
        <w:rPr>
          <w:rFonts w:hint="eastAsia"/>
        </w:rPr>
        <w:t>区域级灾难场景下，可优先启用异地灾备库；如未建设异地在线库，则从异地备份存储重建数据库。</w:t>
      </w:r>
    </w:p>
    <w:bookmarkEnd w:id="66"/>
    <w:p w14:paraId="523EB780">
      <w:pPr>
        <w:pStyle w:val="4"/>
      </w:pPr>
      <w:bookmarkStart w:id="67" w:name="运维要求"/>
      <w:r>
        <w:rPr>
          <w:rFonts w:hint="eastAsia"/>
        </w:rPr>
        <w:t>运维要求</w:t>
      </w:r>
    </w:p>
    <w:p w14:paraId="6AA72047">
      <w:pPr>
        <w:numPr>
          <w:ilvl w:val="0"/>
          <w:numId w:val="27"/>
        </w:numPr>
      </w:pPr>
      <w:r>
        <w:rPr>
          <w:rFonts w:hint="eastAsia"/>
        </w:rPr>
        <w:t>每季度至少开展</w:t>
      </w:r>
      <w:r>
        <w:t xml:space="preserve"> 1 </w:t>
      </w:r>
      <w:r>
        <w:rPr>
          <w:rFonts w:hint="eastAsia"/>
        </w:rPr>
        <w:t>次主备切换演练。</w:t>
      </w:r>
    </w:p>
    <w:p w14:paraId="2F055633">
      <w:pPr>
        <w:numPr>
          <w:ilvl w:val="0"/>
          <w:numId w:val="27"/>
        </w:numPr>
      </w:pPr>
      <w:r>
        <w:rPr>
          <w:rFonts w:hint="eastAsia"/>
        </w:rPr>
        <w:t>每季度至少开展</w:t>
      </w:r>
      <w:r>
        <w:t xml:space="preserve"> 1 </w:t>
      </w:r>
      <w:r>
        <w:rPr>
          <w:rFonts w:hint="eastAsia"/>
        </w:rPr>
        <w:t>次</w:t>
      </w:r>
      <w:r>
        <w:t xml:space="preserve"> PITR </w:t>
      </w:r>
      <w:r>
        <w:rPr>
          <w:rFonts w:hint="eastAsia"/>
        </w:rPr>
        <w:t>恢复演练。</w:t>
      </w:r>
    </w:p>
    <w:p w14:paraId="4410375F">
      <w:pPr>
        <w:numPr>
          <w:ilvl w:val="0"/>
          <w:numId w:val="27"/>
        </w:numPr>
      </w:pPr>
      <w:r>
        <w:rPr>
          <w:rFonts w:hint="eastAsia"/>
        </w:rPr>
        <w:t>每日检查复制延迟、归档状态、备份成功率和磁盘余量。</w:t>
      </w:r>
    </w:p>
    <w:bookmarkEnd w:id="64"/>
    <w:bookmarkEnd w:id="67"/>
    <w:p w14:paraId="0FE5CA1D">
      <w:pPr>
        <w:pStyle w:val="3"/>
      </w:pPr>
      <w:bookmarkStart w:id="68" w:name="_Toc1829453597"/>
      <w:bookmarkStart w:id="69" w:name="切换实施细则"/>
      <w:r>
        <w:rPr>
          <w:rFonts w:hint="eastAsia"/>
        </w:rPr>
        <w:t>切换实施细则</w:t>
      </w:r>
      <w:bookmarkEnd w:id="68"/>
    </w:p>
    <w:p w14:paraId="0F804857">
      <w:pPr>
        <w:pStyle w:val="4"/>
      </w:pPr>
      <w:bookmarkStart w:id="70" w:name="总体原则"/>
      <w:r>
        <w:rPr>
          <w:rFonts w:hint="eastAsia"/>
        </w:rPr>
        <w:t>总体原则</w:t>
      </w:r>
    </w:p>
    <w:p w14:paraId="5B17BF1D">
      <w:r>
        <w:rPr>
          <w:rFonts w:hint="eastAsia"/>
        </w:rPr>
        <w:t>福建水务营收系统数据库切换应遵循“统一入口切换、先判定后切换、先验证后恢复流量、禁止双主”的实施原则。</w:t>
      </w:r>
    </w:p>
    <w:p w14:paraId="63AC4887">
      <w:pPr>
        <w:numPr>
          <w:ilvl w:val="0"/>
          <w:numId w:val="28"/>
        </w:numPr>
      </w:pPr>
      <w:r>
        <w:rPr>
          <w:rFonts w:hint="eastAsia"/>
        </w:rPr>
        <w:t>应用系统统一通过数据库代理地址访问数据库，不直接连接数据库物理节点。</w:t>
      </w:r>
    </w:p>
    <w:p w14:paraId="4CA6E433">
      <w:pPr>
        <w:numPr>
          <w:ilvl w:val="0"/>
          <w:numId w:val="28"/>
        </w:numPr>
      </w:pPr>
      <w:r>
        <w:rPr>
          <w:rFonts w:hint="eastAsia"/>
        </w:rPr>
        <w:t>切换分为计划切换、故障切换和回切三类场景。</w:t>
      </w:r>
    </w:p>
    <w:p w14:paraId="57919406">
      <w:pPr>
        <w:numPr>
          <w:ilvl w:val="0"/>
          <w:numId w:val="28"/>
        </w:numPr>
      </w:pPr>
      <w:r>
        <w:rPr>
          <w:rFonts w:hint="eastAsia"/>
        </w:rPr>
        <w:t>任一切换过程中，必须避免原主库与新主库同时对外提供写服务。</w:t>
      </w:r>
    </w:p>
    <w:p w14:paraId="7127538A">
      <w:pPr>
        <w:numPr>
          <w:ilvl w:val="0"/>
          <w:numId w:val="28"/>
        </w:numPr>
      </w:pPr>
      <w:r>
        <w:rPr>
          <w:rFonts w:hint="eastAsia"/>
        </w:rPr>
        <w:t>切换完成后，必须执行收费、开账、账务、发票、银行代扣等关键业务链路验证。</w:t>
      </w:r>
    </w:p>
    <w:bookmarkEnd w:id="70"/>
    <w:p w14:paraId="486C5A62">
      <w:pPr>
        <w:pStyle w:val="4"/>
      </w:pPr>
      <w:bookmarkStart w:id="71" w:name="计划切换流程"/>
      <w:r>
        <w:rPr>
          <w:rFonts w:hint="eastAsia"/>
        </w:rPr>
        <w:t>计划切换流程</w:t>
      </w:r>
    </w:p>
    <w:p w14:paraId="6398AE44">
      <w:r>
        <w:rPr>
          <w:rFonts w:hint="eastAsia"/>
        </w:rPr>
        <w:t>计划切换适用于数据库补丁升级、主机维护、操作系统维护、机房迁移演练等场景。</w:t>
      </w:r>
    </w:p>
    <w:p w14:paraId="013B5F31">
      <w:pPr>
        <w:pStyle w:val="13"/>
      </w:pPr>
      <w:r>
        <w:rPr>
          <w:rFonts w:hint="eastAsia"/>
        </w:rPr>
        <w:t>执行顺序：</w:t>
      </w:r>
    </w:p>
    <w:p w14:paraId="45B8AB92">
      <w:pPr>
        <w:pStyle w:val="13"/>
      </w:pPr>
      <w:r>
        <w:rPr>
          <w:rFonts w:hint="eastAsia"/>
        </w:rPr>
        <w:t>发起计划切换申请</w:t>
      </w:r>
      <w:r>
        <w:t xml:space="preserve"> → </w:t>
      </w:r>
      <w:r>
        <w:rPr>
          <w:rFonts w:hint="eastAsia"/>
        </w:rPr>
        <w:t>确认切换窗口与影响范围</w:t>
      </w:r>
      <w:r>
        <w:t xml:space="preserve"> → </w:t>
      </w:r>
      <w:r>
        <w:rPr>
          <w:rFonts w:hint="eastAsia"/>
        </w:rPr>
        <w:t>检查主备复制状态</w:t>
      </w:r>
      <w:r>
        <w:t xml:space="preserve"> → </w:t>
      </w:r>
      <w:r>
        <w:rPr>
          <w:rFonts w:hint="eastAsia"/>
        </w:rPr>
        <w:t>暂停高风险写入操作</w:t>
      </w:r>
      <w:r>
        <w:t xml:space="preserve"> → </w:t>
      </w:r>
      <w:r>
        <w:rPr>
          <w:rFonts w:hint="eastAsia"/>
        </w:rPr>
        <w:t>确认备库追平主库</w:t>
      </w:r>
      <w:r>
        <w:t xml:space="preserve"> → </w:t>
      </w:r>
      <w:r>
        <w:rPr>
          <w:rFonts w:hint="eastAsia"/>
        </w:rPr>
        <w:t>提升备库为新主库</w:t>
      </w:r>
      <w:r>
        <w:t xml:space="preserve"> → </w:t>
      </w:r>
      <w:r>
        <w:rPr>
          <w:rFonts w:hint="eastAsia"/>
        </w:rPr>
        <w:t>切换代理入口到新主库</w:t>
      </w:r>
      <w:r>
        <w:t xml:space="preserve"> → </w:t>
      </w:r>
      <w:r>
        <w:rPr>
          <w:rFonts w:hint="eastAsia"/>
        </w:rPr>
        <w:t>验证关键业务链路</w:t>
      </w:r>
      <w:r>
        <w:t xml:space="preserve"> → </w:t>
      </w:r>
      <w:r>
        <w:rPr>
          <w:rFonts w:hint="eastAsia"/>
        </w:rPr>
        <w:t>恢复应用写入流量</w:t>
      </w:r>
      <w:r>
        <w:t xml:space="preserve"> → </w:t>
      </w:r>
      <w:r>
        <w:rPr>
          <w:rFonts w:hint="eastAsia"/>
        </w:rPr>
        <w:t>原主库修复并重建为备库。</w:t>
      </w:r>
    </w:p>
    <w:p w14:paraId="4329F43B">
      <w:pPr>
        <w:pStyle w:val="13"/>
      </w:pPr>
      <w:r>
        <w:rPr>
          <w:rFonts w:hint="eastAsia"/>
        </w:rPr>
        <w:t>实施要点如下：</w:t>
      </w:r>
    </w:p>
    <w:p w14:paraId="1E49CFA7">
      <w:pPr>
        <w:numPr>
          <w:ilvl w:val="0"/>
          <w:numId w:val="29"/>
        </w:numPr>
      </w:pPr>
      <w:r>
        <w:rPr>
          <w:rFonts w:hint="eastAsia"/>
        </w:rPr>
        <w:t>切换前至少确认主备复制无明显延迟。</w:t>
      </w:r>
    </w:p>
    <w:p w14:paraId="4D95B9BB">
      <w:pPr>
        <w:numPr>
          <w:ilvl w:val="0"/>
          <w:numId w:val="29"/>
        </w:numPr>
      </w:pPr>
      <w:r>
        <w:rPr>
          <w:rFonts w:hint="eastAsia"/>
        </w:rPr>
        <w:t>切换窗口内应暂停批量开账、批量代扣、批量票据处理等高风险写入任务。</w:t>
      </w:r>
    </w:p>
    <w:p w14:paraId="63A36A7E">
      <w:pPr>
        <w:numPr>
          <w:ilvl w:val="0"/>
          <w:numId w:val="29"/>
        </w:numPr>
      </w:pPr>
      <w:r>
        <w:rPr>
          <w:rFonts w:hint="eastAsia"/>
        </w:rPr>
        <w:t>备库提升后，应优先切换代理层入口，不建议逐台修改应用配置。</w:t>
      </w:r>
    </w:p>
    <w:p w14:paraId="04CD104E">
      <w:pPr>
        <w:numPr>
          <w:ilvl w:val="0"/>
          <w:numId w:val="29"/>
        </w:numPr>
      </w:pPr>
      <w:r>
        <w:rPr>
          <w:rFonts w:hint="eastAsia"/>
        </w:rPr>
        <w:t>切换成功后，原主库应以备库身份重新加入复制体系，不得直接恢复为独立写节点。</w:t>
      </w:r>
    </w:p>
    <w:bookmarkEnd w:id="71"/>
    <w:p w14:paraId="3477C7BA">
      <w:pPr>
        <w:pStyle w:val="4"/>
      </w:pPr>
      <w:bookmarkStart w:id="72" w:name="故障切换流程"/>
      <w:r>
        <w:rPr>
          <w:rFonts w:hint="eastAsia"/>
        </w:rPr>
        <w:t>故障切换流程</w:t>
      </w:r>
    </w:p>
    <w:p w14:paraId="1134E978">
      <w:r>
        <w:rPr>
          <w:rFonts w:hint="eastAsia"/>
        </w:rPr>
        <w:t>故障切换适用于主库主机宕机、数据库实例不可用、主库存储异常、主库不可恢复等场景。</w:t>
      </w:r>
    </w:p>
    <w:p w14:paraId="395434B9">
      <w:pPr>
        <w:pStyle w:val="13"/>
      </w:pPr>
      <w:r>
        <w:rPr>
          <w:rFonts w:hint="eastAsia"/>
        </w:rPr>
        <w:t>执行顺序：</w:t>
      </w:r>
    </w:p>
    <w:p w14:paraId="5F1FA7C3">
      <w:pPr>
        <w:pStyle w:val="13"/>
      </w:pPr>
      <w:r>
        <w:rPr>
          <w:rFonts w:hint="eastAsia"/>
        </w:rPr>
        <w:t>监控发现主库异常</w:t>
      </w:r>
      <w:r>
        <w:t xml:space="preserve"> → </w:t>
      </w:r>
      <w:r>
        <w:rPr>
          <w:rFonts w:hint="eastAsia"/>
        </w:rPr>
        <w:t>确认主库不可服务</w:t>
      </w:r>
      <w:r>
        <w:t xml:space="preserve"> → </w:t>
      </w:r>
      <w:r>
        <w:rPr>
          <w:rFonts w:hint="eastAsia"/>
        </w:rPr>
        <w:t>隔离原主库写入能力</w:t>
      </w:r>
      <w:r>
        <w:t xml:space="preserve"> → </w:t>
      </w:r>
      <w:r>
        <w:rPr>
          <w:rFonts w:hint="eastAsia"/>
        </w:rPr>
        <w:t>确认备库状态可提升</w:t>
      </w:r>
      <w:r>
        <w:t xml:space="preserve"> → </w:t>
      </w:r>
      <w:r>
        <w:rPr>
          <w:rFonts w:hint="eastAsia"/>
        </w:rPr>
        <w:t>提升备库为新主库</w:t>
      </w:r>
      <w:r>
        <w:t xml:space="preserve"> → </w:t>
      </w:r>
      <w:r>
        <w:rPr>
          <w:rFonts w:hint="eastAsia"/>
        </w:rPr>
        <w:t>代理入口切换到新主库</w:t>
      </w:r>
      <w:r>
        <w:t xml:space="preserve"> → </w:t>
      </w:r>
      <w:r>
        <w:rPr>
          <w:rFonts w:hint="eastAsia"/>
        </w:rPr>
        <w:t>应用重连并恢复服务</w:t>
      </w:r>
      <w:r>
        <w:t xml:space="preserve"> → </w:t>
      </w:r>
      <w:r>
        <w:rPr>
          <w:rFonts w:hint="eastAsia"/>
        </w:rPr>
        <w:t>验证关键业务</w:t>
      </w:r>
      <w:r>
        <w:t xml:space="preserve"> → </w:t>
      </w:r>
      <w:r>
        <w:rPr>
          <w:rFonts w:hint="eastAsia"/>
        </w:rPr>
        <w:t>故障主机修复</w:t>
      </w:r>
      <w:r>
        <w:t xml:space="preserve"> → </w:t>
      </w:r>
      <w:r>
        <w:rPr>
          <w:rFonts w:hint="eastAsia"/>
        </w:rPr>
        <w:t>重建为新备库。</w:t>
      </w:r>
    </w:p>
    <w:p w14:paraId="61CCB490">
      <w:pPr>
        <w:pStyle w:val="13"/>
      </w:pPr>
      <w:r>
        <w:rPr>
          <w:rFonts w:hint="eastAsia"/>
        </w:rPr>
        <w:t>实施要点如下：</w:t>
      </w:r>
    </w:p>
    <w:p w14:paraId="20B7C376">
      <w:pPr>
        <w:numPr>
          <w:ilvl w:val="0"/>
          <w:numId w:val="30"/>
        </w:numPr>
      </w:pPr>
      <w:r>
        <w:rPr>
          <w:rFonts w:hint="eastAsia"/>
        </w:rPr>
        <w:t>故障切换的前提不是“主库变慢”，而是“主库已无法稳定提供写服务”。</w:t>
      </w:r>
    </w:p>
    <w:p w14:paraId="199111E3">
      <w:pPr>
        <w:numPr>
          <w:ilvl w:val="0"/>
          <w:numId w:val="30"/>
        </w:numPr>
      </w:pPr>
      <w:r>
        <w:rPr>
          <w:rFonts w:hint="eastAsia"/>
        </w:rPr>
        <w:t>在故障未完全确认前，不得贸然提升多个备库。</w:t>
      </w:r>
    </w:p>
    <w:p w14:paraId="3FB312A2">
      <w:pPr>
        <w:numPr>
          <w:ilvl w:val="0"/>
          <w:numId w:val="30"/>
        </w:numPr>
      </w:pPr>
      <w:r>
        <w:rPr>
          <w:rFonts w:hint="eastAsia"/>
        </w:rPr>
        <w:t>如主库网络隔离但实例未真正关闭，应先执行隔离措施，避免形成双主风险。</w:t>
      </w:r>
    </w:p>
    <w:p w14:paraId="4E00522B">
      <w:pPr>
        <w:numPr>
          <w:ilvl w:val="0"/>
          <w:numId w:val="30"/>
        </w:numPr>
      </w:pPr>
      <w:r>
        <w:rPr>
          <w:rFonts w:hint="eastAsia"/>
        </w:rPr>
        <w:t>故障切换后应优先恢复核心业务可用性，再执行历史备库链路重建。</w:t>
      </w:r>
    </w:p>
    <w:bookmarkEnd w:id="72"/>
    <w:p w14:paraId="37579AF3">
      <w:pPr>
        <w:pStyle w:val="4"/>
      </w:pPr>
      <w:bookmarkStart w:id="73" w:name="回切流程"/>
      <w:r>
        <w:rPr>
          <w:rFonts w:hint="eastAsia"/>
        </w:rPr>
        <w:t>回切流程</w:t>
      </w:r>
    </w:p>
    <w:p w14:paraId="3A833EDD">
      <w:r>
        <w:rPr>
          <w:rFonts w:hint="eastAsia"/>
        </w:rPr>
        <w:t>回切是指原主库修复完成后，在合适窗口下恢复为生产主库或重新调整主备角色。</w:t>
      </w:r>
    </w:p>
    <w:p w14:paraId="3673D6EF">
      <w:pPr>
        <w:pStyle w:val="13"/>
      </w:pPr>
      <w:r>
        <w:rPr>
          <w:rFonts w:hint="eastAsia"/>
        </w:rPr>
        <w:t>执行顺序：</w:t>
      </w:r>
    </w:p>
    <w:p w14:paraId="35EDF2CD">
      <w:pPr>
        <w:pStyle w:val="13"/>
      </w:pPr>
      <w:r>
        <w:rPr>
          <w:rFonts w:hint="eastAsia"/>
        </w:rPr>
        <w:t>原主库修复完成</w:t>
      </w:r>
      <w:r>
        <w:t xml:space="preserve"> → </w:t>
      </w:r>
      <w:r>
        <w:rPr>
          <w:rFonts w:hint="eastAsia"/>
        </w:rPr>
        <w:t>作为备库追平现主库</w:t>
      </w:r>
      <w:r>
        <w:t xml:space="preserve"> → </w:t>
      </w:r>
      <w:r>
        <w:rPr>
          <w:rFonts w:hint="eastAsia"/>
        </w:rPr>
        <w:t>评估是否需要回切。</w:t>
      </w:r>
    </w:p>
    <w:p w14:paraId="59ED4A8D">
      <w:pPr>
        <w:pStyle w:val="13"/>
      </w:pPr>
      <w:r>
        <w:rPr>
          <w:rFonts w:hint="eastAsia"/>
        </w:rPr>
        <w:t>如不需要回切，则保持现状运行。</w:t>
      </w:r>
    </w:p>
    <w:p w14:paraId="1967611E">
      <w:pPr>
        <w:pStyle w:val="13"/>
      </w:pPr>
      <w:r>
        <w:rPr>
          <w:rFonts w:hint="eastAsia"/>
        </w:rPr>
        <w:t>如需要回切，则执行以下步骤：发起计划回切窗口</w:t>
      </w:r>
      <w:r>
        <w:t xml:space="preserve"> → </w:t>
      </w:r>
      <w:r>
        <w:rPr>
          <w:rFonts w:hint="eastAsia"/>
        </w:rPr>
        <w:t>暂停高风险写入</w:t>
      </w:r>
      <w:r>
        <w:t xml:space="preserve"> → </w:t>
      </w:r>
      <w:r>
        <w:rPr>
          <w:rFonts w:hint="eastAsia"/>
        </w:rPr>
        <w:t>确认复制追平</w:t>
      </w:r>
      <w:r>
        <w:t xml:space="preserve"> → </w:t>
      </w:r>
      <w:r>
        <w:rPr>
          <w:rFonts w:hint="eastAsia"/>
        </w:rPr>
        <w:t>切换代理入口</w:t>
      </w:r>
      <w:r>
        <w:t xml:space="preserve"> → </w:t>
      </w:r>
      <w:r>
        <w:rPr>
          <w:rFonts w:hint="eastAsia"/>
        </w:rPr>
        <w:t>恢复原主库为主库</w:t>
      </w:r>
      <w:r>
        <w:t xml:space="preserve"> → </w:t>
      </w:r>
      <w:r>
        <w:rPr>
          <w:rFonts w:hint="eastAsia"/>
        </w:rPr>
        <w:t>验证关键业务</w:t>
      </w:r>
      <w:r>
        <w:t xml:space="preserve"> → </w:t>
      </w:r>
      <w:r>
        <w:rPr>
          <w:rFonts w:hint="eastAsia"/>
        </w:rPr>
        <w:t>现主库调整为备库。</w:t>
      </w:r>
    </w:p>
    <w:p w14:paraId="17A323BF">
      <w:pPr>
        <w:pStyle w:val="13"/>
      </w:pPr>
      <w:r>
        <w:rPr>
          <w:rFonts w:hint="eastAsia"/>
        </w:rPr>
        <w:t>实施要点如下：</w:t>
      </w:r>
    </w:p>
    <w:p w14:paraId="46993BAC">
      <w:pPr>
        <w:numPr>
          <w:ilvl w:val="0"/>
          <w:numId w:val="31"/>
        </w:numPr>
      </w:pPr>
      <w:r>
        <w:rPr>
          <w:rFonts w:hint="eastAsia"/>
        </w:rPr>
        <w:t>故障切换后并不要求立即回切，应以稳定运行为优先。</w:t>
      </w:r>
    </w:p>
    <w:p w14:paraId="1A564E3C">
      <w:pPr>
        <w:numPr>
          <w:ilvl w:val="0"/>
          <w:numId w:val="31"/>
        </w:numPr>
      </w:pPr>
      <w:r>
        <w:rPr>
          <w:rFonts w:hint="eastAsia"/>
        </w:rPr>
        <w:t>仅当原主机重新具备稳定承载能力，且运维窗口允许时，才建议执行回切。</w:t>
      </w:r>
    </w:p>
    <w:p w14:paraId="5AA7A0B9">
      <w:pPr>
        <w:numPr>
          <w:ilvl w:val="0"/>
          <w:numId w:val="31"/>
        </w:numPr>
      </w:pPr>
      <w:r>
        <w:rPr>
          <w:rFonts w:hint="eastAsia"/>
        </w:rPr>
        <w:t>回切本质上属于一次计划切换，应按计划切换流程执行。</w:t>
      </w:r>
    </w:p>
    <w:bookmarkEnd w:id="73"/>
    <w:p w14:paraId="49F69F71">
      <w:pPr>
        <w:pStyle w:val="4"/>
      </w:pPr>
      <w:bookmarkStart w:id="74" w:name="切换前检查表"/>
      <w:r>
        <w:rPr>
          <w:rFonts w:hint="eastAsia"/>
        </w:rPr>
        <w:t>切换前检查表</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6"/>
        <w:gridCol w:w="2819"/>
        <w:gridCol w:w="2736"/>
      </w:tblGrid>
      <w:tr w14:paraId="4DE2AA9A">
        <w:trPr>
          <w:tblHeader/>
        </w:trPr>
        <w:tc>
          <w:p w14:paraId="10304AD1">
            <w:r>
              <w:rPr>
                <w:rFonts w:hint="eastAsia"/>
              </w:rPr>
              <w:t>检查项</w:t>
            </w:r>
          </w:p>
        </w:tc>
        <w:tc>
          <w:p w14:paraId="0AC12E73">
            <w:r>
              <w:rPr>
                <w:rFonts w:hint="eastAsia"/>
              </w:rPr>
              <w:t>检查要求</w:t>
            </w:r>
          </w:p>
        </w:tc>
        <w:tc>
          <w:p w14:paraId="25E44782">
            <w:r>
              <w:rPr>
                <w:rFonts w:hint="eastAsia"/>
              </w:rPr>
              <w:t>说明</w:t>
            </w:r>
          </w:p>
        </w:tc>
      </w:tr>
      <w:tr w14:paraId="334F05DB">
        <w:tc>
          <w:p w14:paraId="0D4216B0">
            <w:r>
              <w:rPr>
                <w:rFonts w:hint="eastAsia"/>
              </w:rPr>
              <w:t>主备复制状态</w:t>
            </w:r>
          </w:p>
        </w:tc>
        <w:tc>
          <w:p w14:paraId="4920988A">
            <w:r>
              <w:rPr>
                <w:rFonts w:hint="eastAsia"/>
              </w:rPr>
              <w:t>无严重延迟或异常中断</w:t>
            </w:r>
          </w:p>
        </w:tc>
        <w:tc>
          <w:p w14:paraId="6D87CD26">
            <w:r>
              <w:rPr>
                <w:rFonts w:hint="eastAsia"/>
              </w:rPr>
              <w:t>确认备库具备接管条件</w:t>
            </w:r>
          </w:p>
        </w:tc>
      </w:tr>
      <w:tr w14:paraId="0AEC947A">
        <w:tc>
          <w:p w14:paraId="6DDB2087">
            <w:r>
              <w:t xml:space="preserve">WAL </w:t>
            </w:r>
            <w:r>
              <w:rPr>
                <w:rFonts w:hint="eastAsia"/>
              </w:rPr>
              <w:t>归档状态</w:t>
            </w:r>
          </w:p>
        </w:tc>
        <w:tc>
          <w:p w14:paraId="5E72320D">
            <w:r>
              <w:rPr>
                <w:rFonts w:hint="eastAsia"/>
              </w:rPr>
              <w:t>最近归档成功</w:t>
            </w:r>
          </w:p>
        </w:tc>
        <w:tc>
          <w:p w14:paraId="2FFE3283">
            <w:r>
              <w:rPr>
                <w:rFonts w:hint="eastAsia"/>
              </w:rPr>
              <w:t>避免切换与恢复证据缺口</w:t>
            </w:r>
          </w:p>
        </w:tc>
      </w:tr>
      <w:tr w14:paraId="18024E0C">
        <w:tc>
          <w:p w14:paraId="2B0AD961">
            <w:r>
              <w:rPr>
                <w:rFonts w:hint="eastAsia"/>
              </w:rPr>
              <w:t>备库只读可用性</w:t>
            </w:r>
          </w:p>
        </w:tc>
        <w:tc>
          <w:p w14:paraId="3309091D">
            <w:r>
              <w:rPr>
                <w:rFonts w:hint="eastAsia"/>
              </w:rPr>
              <w:t>可正常连接与查询</w:t>
            </w:r>
          </w:p>
        </w:tc>
        <w:tc>
          <w:p w14:paraId="63300A9B">
            <w:r>
              <w:rPr>
                <w:rFonts w:hint="eastAsia"/>
              </w:rPr>
              <w:t>确认备库实例健康</w:t>
            </w:r>
          </w:p>
        </w:tc>
      </w:tr>
      <w:tr w14:paraId="35B15FC7">
        <w:tc>
          <w:p w14:paraId="249871AF">
            <w:r>
              <w:rPr>
                <w:rFonts w:hint="eastAsia"/>
              </w:rPr>
              <w:t>代理状态</w:t>
            </w:r>
          </w:p>
        </w:tc>
        <w:tc>
          <w:p w14:paraId="279C1B88">
            <w:r>
              <w:t xml:space="preserve">HAProxy、PgBouncer </w:t>
            </w:r>
            <w:r>
              <w:rPr>
                <w:rFonts w:hint="eastAsia"/>
              </w:rPr>
              <w:t>正常</w:t>
            </w:r>
          </w:p>
        </w:tc>
        <w:tc>
          <w:p w14:paraId="7B49EF0E">
            <w:r>
              <w:rPr>
                <w:rFonts w:hint="eastAsia"/>
              </w:rPr>
              <w:t>确保切换入口可用</w:t>
            </w:r>
          </w:p>
        </w:tc>
      </w:tr>
      <w:tr w14:paraId="7DA84A1F">
        <w:tc>
          <w:p w14:paraId="6607EF71">
            <w:r>
              <w:rPr>
                <w:rFonts w:hint="eastAsia"/>
              </w:rPr>
              <w:t>应用连接配置</w:t>
            </w:r>
          </w:p>
        </w:tc>
        <w:tc>
          <w:p w14:paraId="03E7E170">
            <w:r>
              <w:rPr>
                <w:rFonts w:hint="eastAsia"/>
              </w:rPr>
              <w:t>使用统一代理地址</w:t>
            </w:r>
          </w:p>
        </w:tc>
        <w:tc>
          <w:p w14:paraId="5AD019B2">
            <w:r>
              <w:rPr>
                <w:rFonts w:hint="eastAsia"/>
              </w:rPr>
              <w:t>禁止应用直连数据库</w:t>
            </w:r>
            <w:r>
              <w:t xml:space="preserve"> IP</w:t>
            </w:r>
          </w:p>
        </w:tc>
      </w:tr>
      <w:tr w14:paraId="7F64E1CA">
        <w:tc>
          <w:p w14:paraId="1AD4FAA2">
            <w:r>
              <w:rPr>
                <w:rFonts w:hint="eastAsia"/>
              </w:rPr>
              <w:t>定时任务状态</w:t>
            </w:r>
          </w:p>
        </w:tc>
        <w:tc>
          <w:p w14:paraId="0DDF998A">
            <w:r>
              <w:rPr>
                <w:rFonts w:hint="eastAsia"/>
              </w:rPr>
              <w:t>高风险写任务可暂停</w:t>
            </w:r>
          </w:p>
        </w:tc>
        <w:tc>
          <w:p w14:paraId="72222D99">
            <w:r>
              <w:rPr>
                <w:rFonts w:hint="eastAsia"/>
              </w:rPr>
              <w:t>包括批量收费、批量代扣等</w:t>
            </w:r>
          </w:p>
        </w:tc>
      </w:tr>
      <w:tr w14:paraId="72ABE459">
        <w:tc>
          <w:p w14:paraId="1210911C">
            <w:r>
              <w:rPr>
                <w:rFonts w:hint="eastAsia"/>
              </w:rPr>
              <w:t>业务通知</w:t>
            </w:r>
          </w:p>
        </w:tc>
        <w:tc>
          <w:p w14:paraId="311108AC">
            <w:r>
              <w:rPr>
                <w:rFonts w:hint="eastAsia"/>
              </w:rPr>
              <w:t>已通知相关业务与运维人员</w:t>
            </w:r>
          </w:p>
        </w:tc>
        <w:tc>
          <w:p w14:paraId="1211CBE4">
            <w:r>
              <w:rPr>
                <w:rFonts w:hint="eastAsia"/>
              </w:rPr>
              <w:t>降低切换窗口影响</w:t>
            </w:r>
          </w:p>
        </w:tc>
      </w:tr>
      <w:bookmarkEnd w:id="74"/>
    </w:tbl>
    <w:p w14:paraId="394E1961">
      <w:pPr>
        <w:pStyle w:val="4"/>
      </w:pPr>
      <w:bookmarkStart w:id="75" w:name="切换后验证表"/>
      <w:r>
        <w:rPr>
          <w:rFonts w:hint="eastAsia"/>
        </w:rPr>
        <w:t>切换后验证表</w:t>
      </w: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6"/>
        <w:gridCol w:w="3576"/>
        <w:gridCol w:w="3366"/>
      </w:tblGrid>
      <w:tr w14:paraId="2B6D8CA8">
        <w:trPr>
          <w:tblHeader/>
        </w:trPr>
        <w:tc>
          <w:p w14:paraId="6CBF46D9">
            <w:r>
              <w:rPr>
                <w:rFonts w:hint="eastAsia"/>
              </w:rPr>
              <w:t>验证项</w:t>
            </w:r>
          </w:p>
        </w:tc>
        <w:tc>
          <w:p w14:paraId="284FB281">
            <w:r>
              <w:rPr>
                <w:rFonts w:hint="eastAsia"/>
              </w:rPr>
              <w:t>验证要求</w:t>
            </w:r>
          </w:p>
        </w:tc>
        <w:tc>
          <w:p w14:paraId="257611C9">
            <w:r>
              <w:rPr>
                <w:rFonts w:hint="eastAsia"/>
              </w:rPr>
              <w:t>适用说明</w:t>
            </w:r>
          </w:p>
        </w:tc>
      </w:tr>
      <w:tr w14:paraId="0166F784">
        <w:tc>
          <w:p w14:paraId="7C824A68">
            <w:r>
              <w:rPr>
                <w:rFonts w:hint="eastAsia"/>
              </w:rPr>
              <w:t>数据库连接</w:t>
            </w:r>
          </w:p>
        </w:tc>
        <w:tc>
          <w:p w14:paraId="53496696">
            <w:r>
              <w:rPr>
                <w:rFonts w:hint="eastAsia"/>
              </w:rPr>
              <w:t>应用可正常连接新主库</w:t>
            </w:r>
          </w:p>
        </w:tc>
        <w:tc>
          <w:p w14:paraId="7F5479CB">
            <w:r>
              <w:rPr>
                <w:rFonts w:hint="eastAsia"/>
              </w:rPr>
              <w:t>基础可用性验证</w:t>
            </w:r>
          </w:p>
        </w:tc>
      </w:tr>
      <w:tr w14:paraId="33644F02">
        <w:tc>
          <w:p w14:paraId="6B69F33F">
            <w:r>
              <w:rPr>
                <w:rFonts w:hint="eastAsia"/>
              </w:rPr>
              <w:t>登录与鉴权</w:t>
            </w:r>
          </w:p>
        </w:tc>
        <w:tc>
          <w:p w14:paraId="26B5AB77">
            <w:r>
              <w:rPr>
                <w:rFonts w:hint="eastAsia"/>
              </w:rPr>
              <w:t>后台登录、令牌校验正常</w:t>
            </w:r>
          </w:p>
        </w:tc>
        <w:tc>
          <w:p w14:paraId="3A832012">
            <w:r>
              <w:rPr>
                <w:rFonts w:hint="eastAsia"/>
              </w:rPr>
              <w:t>确认统一平台链路正常</w:t>
            </w:r>
          </w:p>
        </w:tc>
      </w:tr>
      <w:tr w14:paraId="4143585A">
        <w:tc>
          <w:p w14:paraId="77C02336">
            <w:r>
              <w:rPr>
                <w:rFonts w:hint="eastAsia"/>
              </w:rPr>
              <w:t>收费业务</w:t>
            </w:r>
          </w:p>
        </w:tc>
        <w:tc>
          <w:p w14:paraId="346BC7B6">
            <w:r>
              <w:rPr>
                <w:rFonts w:hint="eastAsia"/>
              </w:rPr>
              <w:t>单笔收费、销账可执行</w:t>
            </w:r>
          </w:p>
        </w:tc>
        <w:tc>
          <w:p w14:paraId="6CE482E8">
            <w:r>
              <w:rPr>
                <w:rFonts w:hint="eastAsia"/>
              </w:rPr>
              <w:t>核心写业务验证</w:t>
            </w:r>
          </w:p>
        </w:tc>
      </w:tr>
      <w:tr w14:paraId="26E206F8">
        <w:tc>
          <w:p w14:paraId="14601F85">
            <w:r>
              <w:rPr>
                <w:rFonts w:hint="eastAsia"/>
              </w:rPr>
              <w:t>开账业务</w:t>
            </w:r>
          </w:p>
        </w:tc>
        <w:tc>
          <w:p w14:paraId="033BC7C4">
            <w:r>
              <w:rPr>
                <w:rFonts w:hint="eastAsia"/>
              </w:rPr>
              <w:t>账单查询、开账写入正常</w:t>
            </w:r>
          </w:p>
        </w:tc>
        <w:tc>
          <w:p w14:paraId="1749136B">
            <w:r>
              <w:rPr>
                <w:rFonts w:hint="eastAsia"/>
              </w:rPr>
              <w:t>核心账务链路验证</w:t>
            </w:r>
          </w:p>
        </w:tc>
      </w:tr>
      <w:tr w14:paraId="6FD7B891">
        <w:tc>
          <w:p w14:paraId="0CB1F0A6">
            <w:r>
              <w:rPr>
                <w:rFonts w:hint="eastAsia"/>
              </w:rPr>
              <w:t>发票业务</w:t>
            </w:r>
          </w:p>
        </w:tc>
        <w:tc>
          <w:p w14:paraId="55D671F9">
            <w:r>
              <w:rPr>
                <w:rFonts w:hint="eastAsia"/>
              </w:rPr>
              <w:t>发票申请、查询可用</w:t>
            </w:r>
          </w:p>
        </w:tc>
        <w:tc>
          <w:p w14:paraId="02C0C0CA">
            <w:r>
              <w:rPr>
                <w:rFonts w:hint="eastAsia"/>
              </w:rPr>
              <w:t>核心票据链路验证</w:t>
            </w:r>
          </w:p>
        </w:tc>
      </w:tr>
      <w:tr w14:paraId="52BC126C">
        <w:tc>
          <w:p w14:paraId="226BD65C">
            <w:r>
              <w:rPr>
                <w:rFonts w:hint="eastAsia"/>
              </w:rPr>
              <w:t>银行代扣</w:t>
            </w:r>
          </w:p>
        </w:tc>
        <w:tc>
          <w:p w14:paraId="7587C241">
            <w:r>
              <w:rPr>
                <w:rFonts w:hint="eastAsia"/>
              </w:rPr>
              <w:t>查询和批次处理链路正常</w:t>
            </w:r>
          </w:p>
        </w:tc>
        <w:tc>
          <w:p w14:paraId="27C2E8C8">
            <w:r>
              <w:rPr>
                <w:rFonts w:hint="eastAsia"/>
              </w:rPr>
              <w:t>涉及外联时至少完成内部链路检查</w:t>
            </w:r>
          </w:p>
        </w:tc>
      </w:tr>
      <w:tr w14:paraId="40AAEA5D">
        <w:tc>
          <w:p w14:paraId="4AE9D031">
            <w:r>
              <w:rPr>
                <w:rFonts w:hint="eastAsia"/>
              </w:rPr>
              <w:t>日志与监控</w:t>
            </w:r>
          </w:p>
        </w:tc>
        <w:tc>
          <w:p w14:paraId="70986753">
            <w:r>
              <w:rPr>
                <w:rFonts w:hint="eastAsia"/>
              </w:rPr>
              <w:t>新主库监控、慢日志、告警恢复正常</w:t>
            </w:r>
          </w:p>
        </w:tc>
        <w:tc>
          <w:p w14:paraId="23A7040B">
            <w:r>
              <w:rPr>
                <w:rFonts w:hint="eastAsia"/>
              </w:rPr>
              <w:t>运维可观测性验证</w:t>
            </w:r>
          </w:p>
        </w:tc>
      </w:tr>
      <w:tr w14:paraId="48F8F4B1">
        <w:tc>
          <w:p w14:paraId="5A9A5D8A">
            <w:r>
              <w:rPr>
                <w:rFonts w:hint="eastAsia"/>
              </w:rPr>
              <w:t>备份与归档</w:t>
            </w:r>
          </w:p>
        </w:tc>
        <w:tc>
          <w:p w14:paraId="502D0D79">
            <w:r>
              <w:rPr>
                <w:rFonts w:hint="eastAsia"/>
              </w:rPr>
              <w:t>新主库</w:t>
            </w:r>
            <w:r>
              <w:t xml:space="preserve"> WAL </w:t>
            </w:r>
            <w:r>
              <w:rPr>
                <w:rFonts w:hint="eastAsia"/>
              </w:rPr>
              <w:t>归档恢复正常</w:t>
            </w:r>
          </w:p>
        </w:tc>
        <w:tc>
          <w:p w14:paraId="0AF01310">
            <w:r>
              <w:rPr>
                <w:rFonts w:hint="eastAsia"/>
              </w:rPr>
              <w:t>确认恢复能力未中断</w:t>
            </w:r>
          </w:p>
        </w:tc>
      </w:tr>
      <w:bookmarkEnd w:id="75"/>
    </w:tbl>
    <w:p w14:paraId="7CB02600">
      <w:pPr>
        <w:pStyle w:val="4"/>
      </w:pPr>
      <w:bookmarkStart w:id="76" w:name="当前项目建议切换策略"/>
      <w:bookmarkStart w:id="77" w:name="正式文档建议表述-1"/>
      <w:r>
        <w:rPr>
          <w:rFonts w:hint="eastAsia"/>
        </w:rPr>
        <w:t>当前项目建议切换策略</w:t>
      </w:r>
    </w:p>
    <w:p w14:paraId="7CEEA82D">
      <w:r>
        <w:rPr>
          <w:rFonts w:hint="eastAsia"/>
        </w:rPr>
        <w:t>结合当前项目部署口径，建议采用以下策略：</w:t>
      </w:r>
    </w:p>
    <w:p w14:paraId="69D3E8CF">
      <w:pPr>
        <w:numPr>
          <w:ilvl w:val="0"/>
          <w:numId w:val="32"/>
        </w:numPr>
      </w:pPr>
      <w:r>
        <w:rPr>
          <w:rFonts w:hint="eastAsia"/>
        </w:rPr>
        <w:t>数据库切换统一由数据库代理层完成，不在</w:t>
      </w:r>
      <w:r>
        <w:t xml:space="preserve"> 4 </w:t>
      </w:r>
      <w:r>
        <w:rPr>
          <w:rFonts w:hint="eastAsia"/>
        </w:rPr>
        <w:t>台应用服务器上分别切换配置。</w:t>
      </w:r>
    </w:p>
    <w:p w14:paraId="2D86B1E4">
      <w:pPr>
        <w:numPr>
          <w:ilvl w:val="0"/>
          <w:numId w:val="32"/>
        </w:numPr>
      </w:pPr>
      <w:r>
        <w:rPr>
          <w:rFonts w:hint="eastAsia"/>
        </w:rPr>
        <w:t>一期建议采用统一读写入口模式，减少应用改造复杂度。</w:t>
      </w:r>
    </w:p>
    <w:p w14:paraId="4C74E751">
      <w:pPr>
        <w:numPr>
          <w:ilvl w:val="0"/>
          <w:numId w:val="32"/>
        </w:numPr>
      </w:pPr>
      <w:r>
        <w:rPr>
          <w:rFonts w:hint="eastAsia"/>
        </w:rPr>
        <w:t>切换窗口内应重点管控收费、账务、发票、银行代扣等核心写入场景。</w:t>
      </w:r>
    </w:p>
    <w:p w14:paraId="1BDC7FAE">
      <w:pPr>
        <w:numPr>
          <w:ilvl w:val="0"/>
          <w:numId w:val="32"/>
        </w:numPr>
      </w:pPr>
      <w:r>
        <w:rPr>
          <w:rFonts w:hint="eastAsia"/>
        </w:rPr>
        <w:t>生产切换完成后，应同步检查</w:t>
      </w:r>
      <w:r>
        <w:t xml:space="preserve"> Quartz </w:t>
      </w:r>
      <w:r>
        <w:rPr>
          <w:rFonts w:hint="eastAsia"/>
        </w:rPr>
        <w:t>定时任务、银行文件处理任务及发票异步任务是否恢复正常。</w:t>
      </w:r>
    </w:p>
    <w:bookmarkEnd w:id="76"/>
    <w:p w14:paraId="09DD0469">
      <w:pPr>
        <w:pStyle w:val="4"/>
      </w:pPr>
      <w:r>
        <w:rPr>
          <w:rFonts w:hint="eastAsia"/>
        </w:rPr>
        <w:t>正式文档建议表述</w:t>
      </w:r>
    </w:p>
    <w:p w14:paraId="4F295178">
      <w:r>
        <w:rPr>
          <w:rFonts w:hint="eastAsia"/>
        </w:rPr>
        <w:t>福建水务营收系统数据库切换采用“主备切换</w:t>
      </w:r>
      <w:r>
        <w:t xml:space="preserve"> + </w:t>
      </w:r>
      <w:r>
        <w:rPr>
          <w:rFonts w:hint="eastAsia"/>
        </w:rPr>
        <w:t>代理入口切换”的实施模式。计划切换和故障切换均由数据库高可用组件完成主备角色调整，由数据库代理层完成统一接入地址切换，应用系统不直接感知数据库物理节点变化。切换实施前应完成复制状态、归档状态、代理状态和高风险任务状态检查，切换实施后应完成收费、开账、账务、发票、银行代扣等关键业务链路验证，并将原主库按备库角色重新纳入复制体系。</w:t>
      </w:r>
    </w:p>
    <w:bookmarkEnd w:id="69"/>
    <w:bookmarkEnd w:id="77"/>
    <w:p w14:paraId="406E8207">
      <w:pPr>
        <w:pStyle w:val="3"/>
      </w:pPr>
      <w:bookmarkStart w:id="78" w:name="_Toc2103230680"/>
      <w:bookmarkStart w:id="79" w:name="申请结论"/>
      <w:r>
        <w:rPr>
          <w:rFonts w:hint="eastAsia"/>
        </w:rPr>
        <w:t>申请结论</w:t>
      </w:r>
      <w:bookmarkEnd w:id="78"/>
    </w:p>
    <w:p w14:paraId="52197ED9">
      <w:r>
        <w:rPr>
          <w:rFonts w:hint="eastAsia"/>
        </w:rPr>
        <w:t>为满足福建水务营收系统生产环境对数据库连续运行和灾难恢复的要求，建议甲方按以下原则审批</w:t>
      </w:r>
      <w:r>
        <w:t xml:space="preserve"> PostgreSQL 16 </w:t>
      </w:r>
      <w:r>
        <w:rPr>
          <w:rFonts w:hint="eastAsia"/>
        </w:rPr>
        <w:t>容灾资源：</w:t>
      </w:r>
    </w:p>
    <w:p w14:paraId="272C820D">
      <w:pPr>
        <w:numPr>
          <w:ilvl w:val="0"/>
          <w:numId w:val="33"/>
        </w:numPr>
      </w:pPr>
      <w:r>
        <w:rPr>
          <w:rFonts w:hint="eastAsia"/>
        </w:rPr>
        <w:t>至少配置</w:t>
      </w:r>
      <w:r>
        <w:t xml:space="preserve"> 1 </w:t>
      </w:r>
      <w:r>
        <w:rPr>
          <w:rFonts w:hint="eastAsia"/>
        </w:rPr>
        <w:t>台主库服务器、1</w:t>
      </w:r>
      <w:r>
        <w:t xml:space="preserve"> </w:t>
      </w:r>
      <w:r>
        <w:rPr>
          <w:rFonts w:hint="eastAsia"/>
        </w:rPr>
        <w:t>台备库服务器和</w:t>
      </w:r>
      <w:r>
        <w:t xml:space="preserve"> 1 </w:t>
      </w:r>
      <w:r>
        <w:rPr>
          <w:rFonts w:hint="eastAsia"/>
        </w:rPr>
        <w:t>套独立备份归档存储。</w:t>
      </w:r>
    </w:p>
    <w:p w14:paraId="5F13EC6B">
      <w:pPr>
        <w:numPr>
          <w:ilvl w:val="0"/>
          <w:numId w:val="33"/>
        </w:numPr>
      </w:pPr>
      <w:r>
        <w:rPr>
          <w:rFonts w:hint="eastAsia"/>
        </w:rPr>
        <w:t>如备库承担正式接管职责，CPU</w:t>
      </w:r>
      <w:r>
        <w:t xml:space="preserve"> </w:t>
      </w:r>
      <w:r>
        <w:rPr>
          <w:rFonts w:hint="eastAsia"/>
        </w:rPr>
        <w:t>与内存宜按主库</w:t>
      </w:r>
      <w:r>
        <w:t xml:space="preserve"> 100% </w:t>
      </w:r>
      <w:r>
        <w:rPr>
          <w:rFonts w:hint="eastAsia"/>
        </w:rPr>
        <w:t>配置，存储不得低于主库。</w:t>
      </w:r>
    </w:p>
    <w:p w14:paraId="2C78AA57">
      <w:pPr>
        <w:numPr>
          <w:ilvl w:val="0"/>
          <w:numId w:val="33"/>
        </w:numPr>
      </w:pPr>
      <w:r>
        <w:rPr>
          <w:rFonts w:hint="eastAsia"/>
        </w:rPr>
        <w:t>如需形成正式生产级容灾体系，建议采用“同城双可用区主备</w:t>
      </w:r>
      <w:r>
        <w:t xml:space="preserve"> + </w:t>
      </w:r>
      <w:r>
        <w:rPr>
          <w:rFonts w:hint="eastAsia"/>
        </w:rPr>
        <w:t>备份归档”方案。</w:t>
      </w:r>
    </w:p>
    <w:p w14:paraId="642DF8B9">
      <w:pPr>
        <w:numPr>
          <w:ilvl w:val="0"/>
          <w:numId w:val="33"/>
        </w:numPr>
      </w:pPr>
      <w:r>
        <w:rPr>
          <w:rFonts w:hint="eastAsia"/>
        </w:rPr>
        <w:t>如需形成区域级灾难恢复体系，建议进一步增配</w:t>
      </w:r>
      <w:r>
        <w:t xml:space="preserve"> 1 </w:t>
      </w:r>
      <w:r>
        <w:rPr>
          <w:rFonts w:hint="eastAsia"/>
        </w:rPr>
        <w:t>台异地灾备服务器。</w:t>
      </w:r>
    </w:p>
    <w:p w14:paraId="77CA8A68">
      <w:r>
        <w:rPr>
          <w:rFonts w:hint="eastAsia"/>
        </w:rPr>
        <w:t>综上，PostgreSQL</w:t>
      </w:r>
      <w:r>
        <w:t xml:space="preserve"> 16 </w:t>
      </w:r>
      <w:r>
        <w:rPr>
          <w:rFonts w:hint="eastAsia"/>
        </w:rPr>
        <w:t>容灾资源申请可分阶段实施，但正式生产环境不宜低于“双节点主备</w:t>
      </w:r>
      <w:r>
        <w:t xml:space="preserve"> + </w:t>
      </w:r>
      <w:r>
        <w:rPr>
          <w:rFonts w:hint="eastAsia"/>
        </w:rPr>
        <w:t>独立备份归档”的最低建设标准。</w:t>
      </w:r>
    </w:p>
    <w:bookmarkEnd w:id="2"/>
    <w:bookmarkEnd w:id="79"/>
    <w:sectPr>
      <w:headerReference r:id="rId6" w:type="first"/>
      <w:headerReference r:id="rId5" w:type="default"/>
      <w:footnotePr>
        <w:pos w:val="beneathText"/>
      </w:footnotePr>
      <w:pgSz w:w="11906" w:h="16838"/>
      <w:pgMar w:top="1418" w:right="1134" w:bottom="1418" w:left="1418" w:header="851" w:footer="992" w:gutter="0"/>
      <w:pgNumType w:start="1"/>
      <w:cols w:space="720" w:num="1"/>
      <w:titlePg/>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宋体-简"/>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黑体-简"/>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宋体-简"/>
    <w:panose1 w:val="02010600030101010101"/>
    <w:charset w:val="86"/>
    <w:family w:val="auto"/>
    <w:pitch w:val="default"/>
    <w:sig w:usb0="00000000" w:usb1="00000000" w:usb2="00000016" w:usb3="00000000" w:csb0="0004000F" w:csb1="00000000"/>
  </w:font>
  <w:font w:name="Arial">
    <w:panose1 w:val="020B0604020202090204"/>
    <w:charset w:val="00"/>
    <w:family w:val="swiss"/>
    <w:pitch w:val="default"/>
    <w:sig w:usb0="E0000AFF" w:usb1="00007843" w:usb2="00000001" w:usb3="00000000" w:csb0="400001BF" w:csb1="DFF70000"/>
  </w:font>
  <w:font w:name="Lohit Devanagari">
    <w:altName w:val="苹方-简"/>
    <w:panose1 w:val="00000000000000000000"/>
    <w:charset w:val="00"/>
    <w:family w:val="auto"/>
    <w:pitch w:val="default"/>
    <w:sig w:usb0="00000000" w:usb1="00000000" w:usb2="00000000" w:usb3="00000000" w:csb0="00040001" w:csb1="00000000"/>
  </w:font>
  <w:font w:name="Liberation Sans">
    <w:altName w:val="苹方-简"/>
    <w:panose1 w:val="00000000000000000000"/>
    <w:charset w:val="00"/>
    <w:family w:val="swiss"/>
    <w:pitch w:val="default"/>
    <w:sig w:usb0="00000000" w:usb1="00000000" w:usb2="00000000" w:usb3="00000000" w:csb0="00040001" w:csb1="00000000"/>
  </w:font>
  <w:font w:name="Noto Sans CJK SC">
    <w:altName w:val="苹方-简"/>
    <w:panose1 w:val="00000000000000000000"/>
    <w:charset w:val="00"/>
    <w:family w:val="auto"/>
    <w:pitch w:val="default"/>
    <w:sig w:usb0="00000000" w:usb1="00000000" w:usb2="00000000" w:usb3="00000000" w:csb0="00040001" w:csb1="00000000"/>
  </w:font>
  <w:font w:name="Garamond">
    <w:altName w:val="苹方-简"/>
    <w:panose1 w:val="02020404030301010803"/>
    <w:charset w:val="00"/>
    <w:family w:val="roman"/>
    <w:pitch w:val="default"/>
    <w:sig w:usb0="00000000" w:usb1="00000000" w:usb2="00000000" w:usb3="00000000" w:csb0="0000009F" w:csb1="00000000"/>
  </w:font>
  <w:font w:name="宋体-简">
    <w:panose1 w:val="02010800040101010101"/>
    <w:charset w:val="86"/>
    <w:family w:val="auto"/>
    <w:pitch w:val="default"/>
    <w:sig w:usb0="00000001" w:usb1="080F0000" w:usb2="00000000" w:usb3="00000000" w:csb0="00040000" w:csb1="00000000"/>
  </w:font>
  <w:font w:name="Apple Color Emoji">
    <w:panose1 w:val="00000000000000000000"/>
    <w:charset w:val="00"/>
    <w:family w:val="auto"/>
    <w:pitch w:val="default"/>
    <w:sig w:usb0="00000003" w:usb1="18000000" w:usb2="14000000" w:usb3="00000000" w:csb0="00000001" w:csb1="00000000"/>
  </w:font>
  <w:font w:name="PingFang SC">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苹方-简">
    <w:altName w:val="Times New Roman"/>
    <w:panose1 w:val="020B0600000000000000"/>
    <w:charset w:val="00"/>
    <w:family w:val="auto"/>
    <w:pitch w:val="default"/>
    <w:sig w:usb0="A00002FF" w:usb1="7ACFFDFB" w:usb2="00000017" w:usb3="00000000" w:csb0="00040001" w:csb1="00000000"/>
  </w:font>
  <w:font w:name="黑体-简">
    <w:panose1 w:val="02000000000000000000"/>
    <w:charset w:val="86"/>
    <w:family w:val="auto"/>
    <w:pitch w:val="default"/>
    <w:sig w:usb0="8000002F" w:usb1="0800004A" w:usb2="00000000" w:usb3="00000000" w:csb0="203E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3CD8A">
    <w:pPr>
      <w:pStyle w:val="16"/>
      <w:pBdr>
        <w:bottom w:val="single" w:color="000000" w:sz="6" w:space="0"/>
      </w:pBdr>
      <w:jc w:val="distribute"/>
      <w:rPr>
        <w:rFonts w:hint="default" w:eastAsia="宋体"/>
        <w:lang w:val="en-US" w:eastAsia="zh-CN"/>
      </w:rPr>
    </w:pPr>
    <w:r>
      <w:rPr>
        <w:rFonts w:hint="eastAsia"/>
        <w:lang w:val="en-US" w:eastAsia="zh-CN"/>
      </w:rPr>
      <w:t>数据库</w:t>
    </w:r>
    <w:r>
      <w:rPr>
        <w:rFonts w:hint="eastAsia"/>
      </w:rPr>
      <w:t xml:space="preserve">容灾与资源申请说明                                                     </w:t>
    </w:r>
    <w:r>
      <w:rPr>
        <w:rFonts w:hint="eastAsia"/>
        <w:lang w:val="en-US" w:eastAsia="zh-CN"/>
      </w:rPr>
      <w:t>福建英迈软件有限公司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7D24B">
    <w:pPr>
      <w:pStyle w:val="16"/>
      <w:pBdr>
        <w:bottom w:val="none" w:color="auto" w:sz="0" w:space="0"/>
      </w:pBdr>
      <w:jc w:val="distribute"/>
      <w:rPr>
        <w:rFonts w:hint="eastAsia" w:ascii="宋体" w:hAnsi="宋体" w:cs="宋体"/>
      </w:rPr>
    </w:pPr>
    <w:r>
      <w:rPr>
        <w:rFonts w:hint="eastAsia" w:ascii="宋体" w:hAnsi="宋体" w:cs="宋体"/>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2"/>
      <w:lvlText w:val="%1"/>
      <w:lvlJc w:val="left"/>
      <w:pPr>
        <w:tabs>
          <w:tab w:val="left" w:pos="0"/>
        </w:tabs>
        <w:ind w:left="432" w:hanging="432"/>
      </w:pPr>
    </w:lvl>
    <w:lvl w:ilvl="1" w:tentative="0">
      <w:start w:val="1"/>
      <w:numFmt w:val="decimal"/>
      <w:pStyle w:val="3"/>
      <w:lvlText w:val="%1.%2"/>
      <w:lvlJc w:val="left"/>
      <w:pPr>
        <w:tabs>
          <w:tab w:val="left" w:pos="0"/>
        </w:tabs>
        <w:ind w:left="576" w:hanging="576"/>
      </w:pPr>
      <w:rPr>
        <w:rFonts w:hint="eastAsia"/>
      </w:rPr>
    </w:lvl>
    <w:lvl w:ilvl="2" w:tentative="0">
      <w:start w:val="1"/>
      <w:numFmt w:val="decimal"/>
      <w:pStyle w:val="4"/>
      <w:lvlText w:val="%1.%2.%3"/>
      <w:lvlJc w:val="left"/>
      <w:pPr>
        <w:tabs>
          <w:tab w:val="left" w:pos="0"/>
        </w:tabs>
        <w:ind w:left="720" w:hanging="720"/>
      </w:pPr>
      <w:rPr>
        <w:rFonts w:hint="eastAsia"/>
      </w:rPr>
    </w:lvl>
    <w:lvl w:ilvl="3" w:tentative="0">
      <w:start w:val="1"/>
      <w:numFmt w:val="decimal"/>
      <w:pStyle w:val="5"/>
      <w:lvlText w:val="%1.%2.%3.%4"/>
      <w:lvlJc w:val="left"/>
      <w:pPr>
        <w:tabs>
          <w:tab w:val="left" w:pos="0"/>
        </w:tabs>
        <w:ind w:left="864" w:hanging="864"/>
      </w:pPr>
      <w:rPr>
        <w:rFonts w:hint="eastAsia"/>
      </w:rPr>
    </w:lvl>
    <w:lvl w:ilvl="4" w:tentative="0">
      <w:start w:val="1"/>
      <w:numFmt w:val="decimal"/>
      <w:pStyle w:val="6"/>
      <w:lvlText w:val="%1.%2.%3.%4.%5"/>
      <w:lvlJc w:val="left"/>
      <w:pPr>
        <w:tabs>
          <w:tab w:val="left" w:pos="0"/>
        </w:tabs>
        <w:ind w:left="1008" w:hanging="1008"/>
      </w:pPr>
      <w:rPr>
        <w:rFonts w:hint="eastAsia"/>
      </w:rPr>
    </w:lvl>
    <w:lvl w:ilvl="5" w:tentative="0">
      <w:start w:val="1"/>
      <w:numFmt w:val="decimal"/>
      <w:pStyle w:val="7"/>
      <w:lvlText w:val="%1.%2.%3.%4.%5.%6"/>
      <w:lvlJc w:val="left"/>
      <w:pPr>
        <w:tabs>
          <w:tab w:val="left" w:pos="0"/>
        </w:tabs>
        <w:ind w:left="1152" w:hanging="1152"/>
      </w:pPr>
      <w:rPr>
        <w:rFonts w:hint="eastAsia"/>
      </w:rPr>
    </w:lvl>
    <w:lvl w:ilvl="6" w:tentative="0">
      <w:start w:val="1"/>
      <w:numFmt w:val="decimal"/>
      <w:pStyle w:val="8"/>
      <w:lvlText w:val="%1.%2.%3.%4.%5.%6.%7"/>
      <w:lvlJc w:val="left"/>
      <w:pPr>
        <w:tabs>
          <w:tab w:val="left" w:pos="0"/>
        </w:tabs>
        <w:ind w:left="1296" w:hanging="1296"/>
      </w:pPr>
      <w:rPr>
        <w:rFonts w:hint="eastAsia"/>
      </w:rPr>
    </w:lvl>
    <w:lvl w:ilvl="7" w:tentative="0">
      <w:start w:val="1"/>
      <w:numFmt w:val="decimal"/>
      <w:pStyle w:val="9"/>
      <w:lvlText w:val="%1.%2.%3.%4.%5.%6.%7.%8"/>
      <w:lvlJc w:val="left"/>
      <w:pPr>
        <w:tabs>
          <w:tab w:val="left" w:pos="0"/>
        </w:tabs>
        <w:ind w:left="1440" w:hanging="1440"/>
      </w:pPr>
      <w:rPr>
        <w:rFonts w:hint="eastAsia"/>
      </w:rPr>
    </w:lvl>
    <w:lvl w:ilvl="8" w:tentative="0">
      <w:start w:val="1"/>
      <w:numFmt w:val="decimal"/>
      <w:pStyle w:val="10"/>
      <w:lvlText w:val="%1.%2.%3.%4.%5.%6.%7.%8.%9"/>
      <w:lvlJc w:val="left"/>
      <w:pPr>
        <w:tabs>
          <w:tab w:val="left" w:pos="0"/>
        </w:tabs>
        <w:ind w:left="1584" w:hanging="1584"/>
      </w:pPr>
      <w:rPr>
        <w:rFonts w:hint="eastAsia"/>
      </w:rPr>
    </w:lvl>
  </w:abstractNum>
  <w:abstractNum w:abstractNumId="1">
    <w:nsid w:val="00A99411"/>
    <w:multiLevelType w:val="multilevel"/>
    <w:tmpl w:val="00A99411"/>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decimal"/>
      <w:lvlText w:val="%3."/>
      <w:lvlJc w:val="left"/>
      <w:pPr>
        <w:ind w:left="2160" w:hanging="360"/>
      </w:pPr>
    </w:lvl>
    <w:lvl w:ilvl="3" w:tentative="0">
      <w:start w:val="1"/>
      <w:numFmt w:val="decimal"/>
      <w:lvlText w:val="%4."/>
      <w:lvlJc w:val="left"/>
      <w:pPr>
        <w:ind w:left="2880" w:hanging="360"/>
      </w:pPr>
    </w:lvl>
    <w:lvl w:ilvl="4" w:tentative="0">
      <w:start w:val="1"/>
      <w:numFmt w:val="decimal"/>
      <w:lvlText w:val="%5."/>
      <w:lvlJc w:val="left"/>
      <w:pPr>
        <w:ind w:left="3600" w:hanging="360"/>
      </w:pPr>
    </w:lvl>
    <w:lvl w:ilvl="5" w:tentative="0">
      <w:start w:val="1"/>
      <w:numFmt w:val="decimal"/>
      <w:lvlText w:val="%6."/>
      <w:lvlJc w:val="left"/>
      <w:pPr>
        <w:ind w:left="4320" w:hanging="360"/>
      </w:pPr>
    </w:lvl>
    <w:lvl w:ilvl="6" w:tentative="0">
      <w:start w:val="1"/>
      <w:numFmt w:val="decimal"/>
      <w:lvlText w:val="%7."/>
      <w:lvlJc w:val="left"/>
      <w:pPr>
        <w:ind w:left="5040" w:hanging="360"/>
      </w:pPr>
    </w:lvl>
    <w:lvl w:ilvl="7" w:tentative="0">
      <w:start w:val="1"/>
      <w:numFmt w:val="decimal"/>
      <w:lvlText w:val="%8."/>
      <w:lvlJc w:val="left"/>
      <w:pPr>
        <w:ind w:left="5760" w:hanging="360"/>
      </w:pPr>
    </w:lvl>
    <w:lvl w:ilvl="8" w:tentative="0">
      <w:start w:val="1"/>
      <w:numFmt w:val="decimal"/>
      <w:lvlText w:val="%9."/>
      <w:lvlJc w:val="left"/>
      <w:pPr>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ocumentProtection w:enforcement="0"/>
  <w:defaultTabStop w:val="420"/>
  <w:drawingGridHorizontalSpacing w:val="0"/>
  <w:drawingGridVerticalSpacing w:val="0"/>
  <w:displayHorizontalDrawingGridEvery w:val="0"/>
  <w:displayVerticalDrawingGridEvery w:val="0"/>
  <w:doNotUseMarginsForDrawingGridOrigin w:val="1"/>
  <w:drawingGridHorizontalOrigin w:val="0"/>
  <w:drawingGridVerticalOrigin w:val="0"/>
  <w:noPunctuationKerning w:val="1"/>
  <w:characterSpacingControl w:val="compressPunctuation"/>
  <w:doNotValidateAgainstSchema/>
  <w:doNotDemarcateInvalidXml/>
  <w:footnotePr>
    <w:pos w:val="beneathText"/>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231"/>
    <w:rsid w:val="000057EF"/>
    <w:rsid w:val="0001213C"/>
    <w:rsid w:val="0008481F"/>
    <w:rsid w:val="000A0BD2"/>
    <w:rsid w:val="000A2EB4"/>
    <w:rsid w:val="000C2E44"/>
    <w:rsid w:val="000F2AC4"/>
    <w:rsid w:val="00106925"/>
    <w:rsid w:val="00111131"/>
    <w:rsid w:val="00120631"/>
    <w:rsid w:val="0012337E"/>
    <w:rsid w:val="0012664E"/>
    <w:rsid w:val="00137CAB"/>
    <w:rsid w:val="00196F90"/>
    <w:rsid w:val="001D3F59"/>
    <w:rsid w:val="001F1C92"/>
    <w:rsid w:val="00215B2B"/>
    <w:rsid w:val="00221969"/>
    <w:rsid w:val="00225A1B"/>
    <w:rsid w:val="0025184E"/>
    <w:rsid w:val="00285812"/>
    <w:rsid w:val="00287FE4"/>
    <w:rsid w:val="002B10DC"/>
    <w:rsid w:val="002B214C"/>
    <w:rsid w:val="002B6831"/>
    <w:rsid w:val="00302F25"/>
    <w:rsid w:val="003543EF"/>
    <w:rsid w:val="00363D41"/>
    <w:rsid w:val="00365A09"/>
    <w:rsid w:val="00382655"/>
    <w:rsid w:val="003915BF"/>
    <w:rsid w:val="0039696F"/>
    <w:rsid w:val="003A41FA"/>
    <w:rsid w:val="003B2223"/>
    <w:rsid w:val="003B7635"/>
    <w:rsid w:val="003B78C8"/>
    <w:rsid w:val="003D31BF"/>
    <w:rsid w:val="003E1250"/>
    <w:rsid w:val="003E46CA"/>
    <w:rsid w:val="004035DC"/>
    <w:rsid w:val="00405E75"/>
    <w:rsid w:val="00432810"/>
    <w:rsid w:val="004429DF"/>
    <w:rsid w:val="004460AC"/>
    <w:rsid w:val="00446D71"/>
    <w:rsid w:val="004B6665"/>
    <w:rsid w:val="004B6E6B"/>
    <w:rsid w:val="004C09B8"/>
    <w:rsid w:val="004C3DD5"/>
    <w:rsid w:val="004D1ECF"/>
    <w:rsid w:val="004E1FBE"/>
    <w:rsid w:val="00510EDB"/>
    <w:rsid w:val="00521BE5"/>
    <w:rsid w:val="0053252B"/>
    <w:rsid w:val="00541637"/>
    <w:rsid w:val="00550091"/>
    <w:rsid w:val="00565F38"/>
    <w:rsid w:val="005666B0"/>
    <w:rsid w:val="00584250"/>
    <w:rsid w:val="005E1BA9"/>
    <w:rsid w:val="00614D3C"/>
    <w:rsid w:val="00636929"/>
    <w:rsid w:val="00636BE2"/>
    <w:rsid w:val="006547A5"/>
    <w:rsid w:val="00656DBF"/>
    <w:rsid w:val="00662231"/>
    <w:rsid w:val="00674501"/>
    <w:rsid w:val="00677B0B"/>
    <w:rsid w:val="006904AD"/>
    <w:rsid w:val="006A6CAD"/>
    <w:rsid w:val="006D2C5D"/>
    <w:rsid w:val="006E292E"/>
    <w:rsid w:val="006E3C4A"/>
    <w:rsid w:val="00702A52"/>
    <w:rsid w:val="00704DB0"/>
    <w:rsid w:val="00707D0C"/>
    <w:rsid w:val="00725125"/>
    <w:rsid w:val="0073370D"/>
    <w:rsid w:val="00746452"/>
    <w:rsid w:val="0076786D"/>
    <w:rsid w:val="00771EE6"/>
    <w:rsid w:val="00775B4A"/>
    <w:rsid w:val="007B715E"/>
    <w:rsid w:val="007C15F9"/>
    <w:rsid w:val="007F11EE"/>
    <w:rsid w:val="007F40B9"/>
    <w:rsid w:val="007F4D1C"/>
    <w:rsid w:val="0080761D"/>
    <w:rsid w:val="0081363C"/>
    <w:rsid w:val="00815AC4"/>
    <w:rsid w:val="008242AF"/>
    <w:rsid w:val="0083093E"/>
    <w:rsid w:val="00856D4B"/>
    <w:rsid w:val="00877E71"/>
    <w:rsid w:val="008A188A"/>
    <w:rsid w:val="008B2864"/>
    <w:rsid w:val="008E6202"/>
    <w:rsid w:val="009027A0"/>
    <w:rsid w:val="00903E83"/>
    <w:rsid w:val="009407D4"/>
    <w:rsid w:val="009429A5"/>
    <w:rsid w:val="00943901"/>
    <w:rsid w:val="009609F0"/>
    <w:rsid w:val="00961D2C"/>
    <w:rsid w:val="00966667"/>
    <w:rsid w:val="0097067B"/>
    <w:rsid w:val="0097419E"/>
    <w:rsid w:val="00977753"/>
    <w:rsid w:val="00977A75"/>
    <w:rsid w:val="00993B67"/>
    <w:rsid w:val="009B4DE4"/>
    <w:rsid w:val="009C2B89"/>
    <w:rsid w:val="009D03BC"/>
    <w:rsid w:val="009D34C4"/>
    <w:rsid w:val="009E1172"/>
    <w:rsid w:val="009E3C47"/>
    <w:rsid w:val="00A021C2"/>
    <w:rsid w:val="00A03DE2"/>
    <w:rsid w:val="00A20FC5"/>
    <w:rsid w:val="00A216D1"/>
    <w:rsid w:val="00A34AB9"/>
    <w:rsid w:val="00A902B5"/>
    <w:rsid w:val="00AA5F82"/>
    <w:rsid w:val="00AA7166"/>
    <w:rsid w:val="00AA7914"/>
    <w:rsid w:val="00AB5CA5"/>
    <w:rsid w:val="00AB76B3"/>
    <w:rsid w:val="00AB7DA3"/>
    <w:rsid w:val="00AC790D"/>
    <w:rsid w:val="00AC7DDB"/>
    <w:rsid w:val="00AF6596"/>
    <w:rsid w:val="00B108FD"/>
    <w:rsid w:val="00B23817"/>
    <w:rsid w:val="00B37452"/>
    <w:rsid w:val="00B57CE3"/>
    <w:rsid w:val="00B60583"/>
    <w:rsid w:val="00B6659A"/>
    <w:rsid w:val="00B803B7"/>
    <w:rsid w:val="00BA01E8"/>
    <w:rsid w:val="00BA16E7"/>
    <w:rsid w:val="00BB16C2"/>
    <w:rsid w:val="00BD2A08"/>
    <w:rsid w:val="00BD2E7A"/>
    <w:rsid w:val="00C01183"/>
    <w:rsid w:val="00C273D6"/>
    <w:rsid w:val="00C57503"/>
    <w:rsid w:val="00CA7A12"/>
    <w:rsid w:val="00CB60A9"/>
    <w:rsid w:val="00CD7BDA"/>
    <w:rsid w:val="00D03748"/>
    <w:rsid w:val="00D13C5D"/>
    <w:rsid w:val="00D157E1"/>
    <w:rsid w:val="00D24834"/>
    <w:rsid w:val="00D27E8F"/>
    <w:rsid w:val="00D31252"/>
    <w:rsid w:val="00D3730D"/>
    <w:rsid w:val="00D4091B"/>
    <w:rsid w:val="00D4284B"/>
    <w:rsid w:val="00D42AC0"/>
    <w:rsid w:val="00D53059"/>
    <w:rsid w:val="00D7086E"/>
    <w:rsid w:val="00D76B06"/>
    <w:rsid w:val="00D77662"/>
    <w:rsid w:val="00D92E5A"/>
    <w:rsid w:val="00DA664B"/>
    <w:rsid w:val="00E07512"/>
    <w:rsid w:val="00E12D4E"/>
    <w:rsid w:val="00E26C64"/>
    <w:rsid w:val="00E44746"/>
    <w:rsid w:val="00E678B7"/>
    <w:rsid w:val="00E73928"/>
    <w:rsid w:val="00E77825"/>
    <w:rsid w:val="00E87537"/>
    <w:rsid w:val="00EA7470"/>
    <w:rsid w:val="00EB400B"/>
    <w:rsid w:val="00EC5219"/>
    <w:rsid w:val="00ED435F"/>
    <w:rsid w:val="00EE0A78"/>
    <w:rsid w:val="00F05CB0"/>
    <w:rsid w:val="00F10E42"/>
    <w:rsid w:val="00F149AD"/>
    <w:rsid w:val="00F317C9"/>
    <w:rsid w:val="00F60C7C"/>
    <w:rsid w:val="00F81F2B"/>
    <w:rsid w:val="00F90DDA"/>
    <w:rsid w:val="00F94C76"/>
    <w:rsid w:val="00FA51F2"/>
    <w:rsid w:val="00FB6EFC"/>
    <w:rsid w:val="00FD0ACA"/>
    <w:rsid w:val="00FD42C0"/>
    <w:rsid w:val="00FE2CBB"/>
    <w:rsid w:val="00FE5DA8"/>
    <w:rsid w:val="01811CC6"/>
    <w:rsid w:val="01A17E07"/>
    <w:rsid w:val="098562DB"/>
    <w:rsid w:val="10C63645"/>
    <w:rsid w:val="15226374"/>
    <w:rsid w:val="19BD5342"/>
    <w:rsid w:val="253207DC"/>
    <w:rsid w:val="2FFE6C12"/>
    <w:rsid w:val="31607E27"/>
    <w:rsid w:val="319377D8"/>
    <w:rsid w:val="3A2E080A"/>
    <w:rsid w:val="3B9C4649"/>
    <w:rsid w:val="3B9D8CF1"/>
    <w:rsid w:val="3E2BE9AC"/>
    <w:rsid w:val="3EA958AC"/>
    <w:rsid w:val="4B3923D5"/>
    <w:rsid w:val="4C6F3619"/>
    <w:rsid w:val="4D640980"/>
    <w:rsid w:val="4FE5A802"/>
    <w:rsid w:val="52D5370A"/>
    <w:rsid w:val="5D904C67"/>
    <w:rsid w:val="5D9DA2EB"/>
    <w:rsid w:val="5E651421"/>
    <w:rsid w:val="5E7A598C"/>
    <w:rsid w:val="69277DB4"/>
    <w:rsid w:val="69C63F39"/>
    <w:rsid w:val="6AAA74DF"/>
    <w:rsid w:val="6D584DAE"/>
    <w:rsid w:val="72D629B1"/>
    <w:rsid w:val="7740606A"/>
    <w:rsid w:val="7774B6D0"/>
    <w:rsid w:val="7D977721"/>
    <w:rsid w:val="E3DE555F"/>
    <w:rsid w:val="F5FF0C0A"/>
    <w:rsid w:val="F7DF3B8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等线" w:cs="Times New Roman"/>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6" w:semiHidden="0" w:name="heading 1"/>
    <w:lsdException w:qFormat="1" w:unhideWhenUsed="0" w:uiPriority="6" w:semiHidden="0" w:name="heading 2"/>
    <w:lsdException w:qFormat="1" w:unhideWhenUsed="0" w:uiPriority="6" w:semiHidden="0" w:name="heading 3"/>
    <w:lsdException w:qFormat="1" w:unhideWhenUsed="0" w:uiPriority="6" w:semiHidden="0" w:name="heading 4"/>
    <w:lsdException w:qFormat="1" w:unhideWhenUsed="0" w:uiPriority="6" w:semiHidden="0" w:name="heading 5"/>
    <w:lsdException w:qFormat="1" w:unhideWhenUsed="0" w:uiPriority="6" w:semiHidden="0" w:name="heading 6"/>
    <w:lsdException w:qFormat="1" w:unhideWhenUsed="0" w:uiPriority="6" w:semiHidden="0" w:name="heading 7"/>
    <w:lsdException w:qFormat="1" w:unhideWhenUsed="0" w:uiPriority="6" w:semiHidden="0" w:name="heading 8"/>
    <w:lsdException w:qFormat="1" w:unhideWhenUsed="0" w:uiPriority="6"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6" w:semiHidden="0" w:name="header"/>
    <w:lsdException w:unhideWhenUsed="0" w:uiPriority="6" w:semiHidden="0" w:name="footer"/>
    <w:lsdException w:unhideWhenUsed="0" w:uiPriority="0" w:semiHidden="0" w:name="index heading"/>
    <w:lsdException w:qFormat="1" w:unhideWhenUsed="0" w:uiPriority="7"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6"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7"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7"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6"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7"/>
    <w:pPr>
      <w:widowControl w:val="0"/>
      <w:suppressAutoHyphens/>
      <w:spacing w:line="360" w:lineRule="auto"/>
    </w:pPr>
    <w:rPr>
      <w:rFonts w:ascii="Arial" w:hAnsi="Arial" w:eastAsia="宋体" w:cs="Arial"/>
      <w:kern w:val="2"/>
      <w:sz w:val="21"/>
      <w:lang w:val="en-US" w:eastAsia="zh-CN" w:bidi="ar-SA"/>
    </w:rPr>
  </w:style>
  <w:style w:type="paragraph" w:styleId="2">
    <w:name w:val="heading 1"/>
    <w:basedOn w:val="1"/>
    <w:next w:val="1"/>
    <w:qFormat/>
    <w:uiPriority w:val="6"/>
    <w:pPr>
      <w:keepNext/>
      <w:keepLines/>
      <w:pageBreakBefore/>
      <w:numPr>
        <w:ilvl w:val="0"/>
        <w:numId w:val="1"/>
      </w:numPr>
      <w:tabs>
        <w:tab w:val="left" w:pos="432"/>
      </w:tabs>
      <w:spacing w:before="340" w:after="330" w:line="240" w:lineRule="auto"/>
      <w:outlineLvl w:val="0"/>
    </w:pPr>
    <w:rPr>
      <w:b/>
      <w:bCs/>
      <w:sz w:val="44"/>
      <w:szCs w:val="44"/>
    </w:rPr>
  </w:style>
  <w:style w:type="paragraph" w:styleId="3">
    <w:name w:val="heading 2"/>
    <w:basedOn w:val="1"/>
    <w:next w:val="1"/>
    <w:qFormat/>
    <w:uiPriority w:val="6"/>
    <w:pPr>
      <w:keepNext/>
      <w:keepLines/>
      <w:numPr>
        <w:ilvl w:val="1"/>
        <w:numId w:val="1"/>
      </w:numPr>
      <w:tabs>
        <w:tab w:val="left" w:pos="576"/>
      </w:tabs>
      <w:spacing w:before="260" w:after="260" w:line="240" w:lineRule="auto"/>
      <w:outlineLvl w:val="1"/>
    </w:pPr>
    <w:rPr>
      <w:b/>
      <w:bCs/>
      <w:sz w:val="32"/>
      <w:szCs w:val="32"/>
    </w:rPr>
  </w:style>
  <w:style w:type="paragraph" w:styleId="4">
    <w:name w:val="heading 3"/>
    <w:basedOn w:val="1"/>
    <w:next w:val="1"/>
    <w:qFormat/>
    <w:uiPriority w:val="6"/>
    <w:pPr>
      <w:keepNext/>
      <w:keepLines/>
      <w:numPr>
        <w:ilvl w:val="2"/>
        <w:numId w:val="1"/>
      </w:numPr>
      <w:tabs>
        <w:tab w:val="left" w:pos="720"/>
        <w:tab w:val="left" w:pos="872"/>
      </w:tabs>
      <w:spacing w:before="260" w:after="260" w:line="240" w:lineRule="auto"/>
      <w:outlineLvl w:val="2"/>
    </w:pPr>
    <w:rPr>
      <w:b/>
      <w:bCs/>
      <w:sz w:val="30"/>
      <w:szCs w:val="32"/>
    </w:rPr>
  </w:style>
  <w:style w:type="paragraph" w:styleId="5">
    <w:name w:val="heading 4"/>
    <w:basedOn w:val="1"/>
    <w:next w:val="1"/>
    <w:qFormat/>
    <w:uiPriority w:val="6"/>
    <w:pPr>
      <w:keepNext/>
      <w:keepLines/>
      <w:numPr>
        <w:ilvl w:val="3"/>
        <w:numId w:val="1"/>
      </w:numPr>
      <w:tabs>
        <w:tab w:val="left" w:pos="864"/>
      </w:tabs>
      <w:spacing w:before="280" w:after="290" w:line="240" w:lineRule="auto"/>
      <w:outlineLvl w:val="3"/>
    </w:pPr>
    <w:rPr>
      <w:b/>
      <w:bCs/>
      <w:sz w:val="28"/>
      <w:szCs w:val="28"/>
    </w:rPr>
  </w:style>
  <w:style w:type="paragraph" w:styleId="6">
    <w:name w:val="heading 5"/>
    <w:basedOn w:val="1"/>
    <w:next w:val="1"/>
    <w:qFormat/>
    <w:uiPriority w:val="6"/>
    <w:pPr>
      <w:keepNext/>
      <w:keepLines/>
      <w:numPr>
        <w:ilvl w:val="4"/>
        <w:numId w:val="1"/>
      </w:numPr>
      <w:tabs>
        <w:tab w:val="left" w:pos="1008"/>
      </w:tabs>
      <w:spacing w:before="280" w:after="290" w:line="240" w:lineRule="auto"/>
      <w:outlineLvl w:val="4"/>
    </w:pPr>
    <w:rPr>
      <w:b/>
      <w:bCs/>
      <w:szCs w:val="28"/>
    </w:rPr>
  </w:style>
  <w:style w:type="paragraph" w:styleId="7">
    <w:name w:val="heading 6"/>
    <w:basedOn w:val="1"/>
    <w:next w:val="1"/>
    <w:qFormat/>
    <w:uiPriority w:val="6"/>
    <w:pPr>
      <w:keepNext/>
      <w:keepLines/>
      <w:numPr>
        <w:ilvl w:val="5"/>
        <w:numId w:val="1"/>
      </w:numPr>
      <w:tabs>
        <w:tab w:val="left" w:pos="1152"/>
      </w:tabs>
      <w:spacing w:before="240" w:after="64" w:line="319" w:lineRule="auto"/>
      <w:outlineLvl w:val="5"/>
    </w:pPr>
    <w:rPr>
      <w:b/>
      <w:bCs/>
      <w:szCs w:val="24"/>
    </w:rPr>
  </w:style>
  <w:style w:type="paragraph" w:styleId="8">
    <w:name w:val="heading 7"/>
    <w:basedOn w:val="1"/>
    <w:next w:val="1"/>
    <w:qFormat/>
    <w:uiPriority w:val="6"/>
    <w:pPr>
      <w:keepNext/>
      <w:keepLines/>
      <w:numPr>
        <w:ilvl w:val="6"/>
        <w:numId w:val="1"/>
      </w:numPr>
      <w:tabs>
        <w:tab w:val="left" w:pos="1296"/>
      </w:tabs>
      <w:spacing w:before="240" w:after="64" w:line="319" w:lineRule="auto"/>
      <w:outlineLvl w:val="6"/>
    </w:pPr>
    <w:rPr>
      <w:b/>
      <w:bCs/>
      <w:sz w:val="18"/>
      <w:szCs w:val="24"/>
    </w:rPr>
  </w:style>
  <w:style w:type="paragraph" w:styleId="9">
    <w:name w:val="heading 8"/>
    <w:basedOn w:val="1"/>
    <w:next w:val="1"/>
    <w:qFormat/>
    <w:uiPriority w:val="6"/>
    <w:pPr>
      <w:keepNext/>
      <w:keepLines/>
      <w:numPr>
        <w:ilvl w:val="7"/>
        <w:numId w:val="1"/>
      </w:numPr>
      <w:tabs>
        <w:tab w:val="left" w:pos="1440"/>
      </w:tabs>
      <w:spacing w:before="240" w:after="64" w:line="319" w:lineRule="auto"/>
      <w:outlineLvl w:val="7"/>
    </w:pPr>
    <w:rPr>
      <w:b/>
      <w:sz w:val="18"/>
      <w:szCs w:val="24"/>
    </w:rPr>
  </w:style>
  <w:style w:type="paragraph" w:styleId="10">
    <w:name w:val="heading 9"/>
    <w:basedOn w:val="1"/>
    <w:next w:val="1"/>
    <w:qFormat/>
    <w:uiPriority w:val="6"/>
    <w:pPr>
      <w:keepNext/>
      <w:keepLines/>
      <w:numPr>
        <w:ilvl w:val="8"/>
        <w:numId w:val="1"/>
      </w:numPr>
      <w:tabs>
        <w:tab w:val="left" w:pos="1344"/>
        <w:tab w:val="left" w:pos="1584"/>
      </w:tabs>
      <w:spacing w:before="240" w:after="64" w:line="319" w:lineRule="auto"/>
      <w:outlineLvl w:val="8"/>
    </w:pPr>
    <w:rPr>
      <w:b/>
      <w:sz w:val="18"/>
      <w:szCs w:val="21"/>
    </w:rPr>
  </w:style>
  <w:style w:type="character" w:default="1" w:styleId="23">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11">
    <w:name w:val="caption"/>
    <w:basedOn w:val="1"/>
    <w:qFormat/>
    <w:uiPriority w:val="7"/>
    <w:pPr>
      <w:suppressLineNumbers/>
      <w:spacing w:before="120" w:after="120"/>
    </w:pPr>
    <w:rPr>
      <w:rFonts w:cs="Lohit Devanagari"/>
      <w:i/>
      <w:iCs/>
      <w:sz w:val="24"/>
      <w:szCs w:val="24"/>
    </w:rPr>
  </w:style>
  <w:style w:type="paragraph" w:styleId="12">
    <w:name w:val="annotation text"/>
    <w:basedOn w:val="1"/>
    <w:uiPriority w:val="0"/>
  </w:style>
  <w:style w:type="paragraph" w:styleId="13">
    <w:name w:val="Body Text"/>
    <w:basedOn w:val="1"/>
    <w:uiPriority w:val="7"/>
    <w:pPr>
      <w:spacing w:after="120"/>
    </w:pPr>
  </w:style>
  <w:style w:type="paragraph" w:styleId="14">
    <w:name w:val="toc 3"/>
    <w:basedOn w:val="1"/>
    <w:next w:val="1"/>
    <w:uiPriority w:val="39"/>
    <w:pPr>
      <w:spacing w:line="240" w:lineRule="auto"/>
      <w:ind w:left="482"/>
    </w:pPr>
    <w:rPr>
      <w:i/>
      <w:sz w:val="18"/>
    </w:rPr>
  </w:style>
  <w:style w:type="paragraph" w:styleId="15">
    <w:name w:val="footer"/>
    <w:basedOn w:val="1"/>
    <w:uiPriority w:val="6"/>
    <w:pPr>
      <w:tabs>
        <w:tab w:val="center" w:pos="4153"/>
        <w:tab w:val="right" w:pos="8306"/>
      </w:tabs>
      <w:snapToGrid w:val="0"/>
      <w:spacing w:line="240" w:lineRule="auto"/>
    </w:pPr>
    <w:rPr>
      <w:sz w:val="18"/>
      <w:szCs w:val="18"/>
    </w:rPr>
  </w:style>
  <w:style w:type="paragraph" w:styleId="16">
    <w:name w:val="header"/>
    <w:basedOn w:val="1"/>
    <w:uiPriority w:val="6"/>
    <w:pPr>
      <w:pBdr>
        <w:top w:val="none" w:color="000000" w:sz="0" w:space="0"/>
        <w:left w:val="none" w:color="000000" w:sz="0" w:space="0"/>
        <w:bottom w:val="single" w:color="000000" w:sz="6" w:space="1"/>
        <w:right w:val="none" w:color="000000" w:sz="0" w:space="0"/>
      </w:pBdr>
      <w:tabs>
        <w:tab w:val="center" w:pos="4153"/>
        <w:tab w:val="right" w:pos="8306"/>
      </w:tabs>
      <w:snapToGrid w:val="0"/>
      <w:spacing w:line="240" w:lineRule="auto"/>
      <w:jc w:val="center"/>
    </w:pPr>
    <w:rPr>
      <w:sz w:val="18"/>
      <w:szCs w:val="18"/>
    </w:rPr>
  </w:style>
  <w:style w:type="paragraph" w:styleId="17">
    <w:name w:val="toc 1"/>
    <w:basedOn w:val="1"/>
    <w:next w:val="1"/>
    <w:uiPriority w:val="39"/>
    <w:pPr>
      <w:spacing w:before="120" w:after="120" w:line="240" w:lineRule="auto"/>
    </w:pPr>
    <w:rPr>
      <w:b/>
      <w:caps/>
    </w:rPr>
  </w:style>
  <w:style w:type="paragraph" w:styleId="18">
    <w:name w:val="List"/>
    <w:basedOn w:val="13"/>
    <w:uiPriority w:val="7"/>
    <w:rPr>
      <w:rFonts w:cs="Lohit Devanagari"/>
    </w:rPr>
  </w:style>
  <w:style w:type="paragraph" w:styleId="19">
    <w:name w:val="toc 2"/>
    <w:basedOn w:val="1"/>
    <w:next w:val="1"/>
    <w:uiPriority w:val="39"/>
    <w:pPr>
      <w:spacing w:line="240" w:lineRule="auto"/>
      <w:ind w:left="238"/>
    </w:pPr>
    <w:rPr>
      <w:smallCaps/>
      <w:sz w:val="18"/>
    </w:rPr>
  </w:style>
  <w:style w:type="table" w:styleId="21">
    <w:name w:val="Table Grid"/>
    <w:basedOn w:val="20"/>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2">
    <w:name w:val="Table Theme"/>
    <w:basedOn w:val="20"/>
    <w:semiHidden/>
    <w:unhideWhenUsed/>
    <w:uiPriority w:val="0"/>
    <w:pPr>
      <w:widowControl w:val="0"/>
      <w:suppressAutoHyphens/>
      <w:spacing w:line="36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uiPriority w:val="6"/>
  </w:style>
  <w:style w:type="character" w:styleId="25">
    <w:name w:val="FollowedHyperlink"/>
    <w:uiPriority w:val="6"/>
    <w:rPr>
      <w:color w:val="800080"/>
      <w:u w:val="single"/>
    </w:rPr>
  </w:style>
  <w:style w:type="character" w:styleId="26">
    <w:name w:val="Hyperlink"/>
    <w:uiPriority w:val="99"/>
    <w:rPr>
      <w:color w:val="0000FF"/>
      <w:u w:val="single"/>
    </w:rPr>
  </w:style>
  <w:style w:type="character" w:customStyle="1" w:styleId="27">
    <w:name w:val="默认段落字体1"/>
    <w:uiPriority w:val="0"/>
  </w:style>
  <w:style w:type="character" w:customStyle="1" w:styleId="28">
    <w:name w:val="WW8Num1z0"/>
    <w:uiPriority w:val="3"/>
    <w:rPr>
      <w:rFonts w:hint="default"/>
    </w:rPr>
  </w:style>
  <w:style w:type="character" w:customStyle="1" w:styleId="29">
    <w:name w:val="WW8Num2z0"/>
    <w:uiPriority w:val="3"/>
    <w:rPr>
      <w:rFonts w:hint="default"/>
    </w:rPr>
  </w:style>
  <w:style w:type="character" w:customStyle="1" w:styleId="30">
    <w:name w:val="WW8Num3z0"/>
    <w:uiPriority w:val="3"/>
    <w:rPr>
      <w:rFonts w:hint="default"/>
    </w:rPr>
  </w:style>
  <w:style w:type="character" w:customStyle="1" w:styleId="31">
    <w:name w:val="WW8Num4z0"/>
    <w:uiPriority w:val="3"/>
    <w:rPr>
      <w:rFonts w:hint="default"/>
    </w:rPr>
  </w:style>
  <w:style w:type="character" w:customStyle="1" w:styleId="32">
    <w:name w:val="WW8Num4z1"/>
    <w:uiPriority w:val="3"/>
  </w:style>
  <w:style w:type="character" w:customStyle="1" w:styleId="33">
    <w:name w:val="WW8Num4z2"/>
    <w:uiPriority w:val="3"/>
  </w:style>
  <w:style w:type="character" w:customStyle="1" w:styleId="34">
    <w:name w:val="WW8Num4z3"/>
    <w:uiPriority w:val="3"/>
  </w:style>
  <w:style w:type="character" w:customStyle="1" w:styleId="35">
    <w:name w:val="WW8Num4z4"/>
    <w:uiPriority w:val="3"/>
  </w:style>
  <w:style w:type="character" w:customStyle="1" w:styleId="36">
    <w:name w:val="WW8Num4z5"/>
    <w:uiPriority w:val="3"/>
  </w:style>
  <w:style w:type="character" w:customStyle="1" w:styleId="37">
    <w:name w:val="WW8Num4z6"/>
    <w:uiPriority w:val="3"/>
  </w:style>
  <w:style w:type="character" w:customStyle="1" w:styleId="38">
    <w:name w:val="WW8Num4z7"/>
    <w:uiPriority w:val="3"/>
  </w:style>
  <w:style w:type="character" w:customStyle="1" w:styleId="39">
    <w:name w:val="WW8Num4z8"/>
    <w:uiPriority w:val="3"/>
  </w:style>
  <w:style w:type="character" w:customStyle="1" w:styleId="40">
    <w:name w:val="WW8Num5z0"/>
    <w:uiPriority w:val="3"/>
    <w:rPr>
      <w:rFonts w:hint="default" w:cs="Arial"/>
      <w:lang w:val="en-US"/>
    </w:rPr>
  </w:style>
  <w:style w:type="character" w:customStyle="1" w:styleId="41">
    <w:name w:val="WW8Num6z0"/>
    <w:uiPriority w:val="3"/>
  </w:style>
  <w:style w:type="character" w:customStyle="1" w:styleId="42">
    <w:name w:val="WW8Num6z1"/>
    <w:uiPriority w:val="3"/>
  </w:style>
  <w:style w:type="character" w:customStyle="1" w:styleId="43">
    <w:name w:val="WW8Num6z2"/>
    <w:uiPriority w:val="3"/>
  </w:style>
  <w:style w:type="character" w:customStyle="1" w:styleId="44">
    <w:name w:val="WW8Num6z3"/>
    <w:uiPriority w:val="3"/>
  </w:style>
  <w:style w:type="character" w:customStyle="1" w:styleId="45">
    <w:name w:val="WW8Num6z4"/>
    <w:uiPriority w:val="3"/>
  </w:style>
  <w:style w:type="character" w:customStyle="1" w:styleId="46">
    <w:name w:val="WW8Num6z5"/>
    <w:uiPriority w:val="3"/>
  </w:style>
  <w:style w:type="character" w:customStyle="1" w:styleId="47">
    <w:name w:val="WW8Num6z6"/>
    <w:uiPriority w:val="3"/>
  </w:style>
  <w:style w:type="character" w:customStyle="1" w:styleId="48">
    <w:name w:val="WW8Num6z7"/>
    <w:uiPriority w:val="3"/>
  </w:style>
  <w:style w:type="character" w:customStyle="1" w:styleId="49">
    <w:name w:val="WW8Num6z8"/>
    <w:uiPriority w:val="3"/>
  </w:style>
  <w:style w:type="character" w:customStyle="1" w:styleId="50">
    <w:name w:val="WW8Num7z0"/>
    <w:uiPriority w:val="3"/>
    <w:rPr>
      <w:rFonts w:hint="default"/>
    </w:rPr>
  </w:style>
  <w:style w:type="character" w:customStyle="1" w:styleId="51">
    <w:name w:val="WW8Num8z0"/>
    <w:uiPriority w:val="3"/>
    <w:rPr>
      <w:rFonts w:hint="default"/>
    </w:rPr>
  </w:style>
  <w:style w:type="character" w:customStyle="1" w:styleId="52">
    <w:name w:val="WW8Num9z0"/>
    <w:uiPriority w:val="3"/>
  </w:style>
  <w:style w:type="character" w:customStyle="1" w:styleId="53">
    <w:name w:val="WW8Num9z1"/>
    <w:uiPriority w:val="3"/>
    <w:rPr>
      <w:rFonts w:hint="eastAsia"/>
    </w:rPr>
  </w:style>
  <w:style w:type="character" w:customStyle="1" w:styleId="54">
    <w:name w:val="WW8Num10z0"/>
    <w:uiPriority w:val="3"/>
    <w:rPr>
      <w:rFonts w:hint="default"/>
    </w:rPr>
  </w:style>
  <w:style w:type="character" w:customStyle="1" w:styleId="55">
    <w:name w:val="WW8Num11z0"/>
    <w:uiPriority w:val="3"/>
    <w:rPr>
      <w:rFonts w:hint="default"/>
    </w:rPr>
  </w:style>
  <w:style w:type="character" w:customStyle="1" w:styleId="56">
    <w:name w:val="批注文字 Char"/>
    <w:uiPriority w:val="0"/>
    <w:rPr>
      <w:rFonts w:ascii="Arial" w:hAnsi="Arial" w:eastAsia="宋体" w:cs="Arial"/>
      <w:color w:val="0000FF"/>
      <w:kern w:val="2"/>
      <w:sz w:val="18"/>
      <w:lang w:val="en-US" w:eastAsia="zh-CN" w:bidi="ar-SA"/>
    </w:rPr>
  </w:style>
  <w:style w:type="character" w:customStyle="1" w:styleId="57">
    <w:name w:val="Index Link"/>
    <w:uiPriority w:val="6"/>
  </w:style>
  <w:style w:type="paragraph" w:customStyle="1" w:styleId="58">
    <w:name w:val="Heading"/>
    <w:basedOn w:val="1"/>
    <w:next w:val="13"/>
    <w:uiPriority w:val="6"/>
    <w:pPr>
      <w:keepNext/>
      <w:spacing w:before="240" w:after="120"/>
    </w:pPr>
    <w:rPr>
      <w:rFonts w:ascii="Liberation Sans" w:hAnsi="Liberation Sans" w:eastAsia="Noto Sans CJK SC" w:cs="Lohit Devanagari"/>
      <w:sz w:val="28"/>
      <w:szCs w:val="28"/>
    </w:rPr>
  </w:style>
  <w:style w:type="paragraph" w:customStyle="1" w:styleId="59">
    <w:name w:val="Index"/>
    <w:basedOn w:val="1"/>
    <w:uiPriority w:val="6"/>
    <w:pPr>
      <w:suppressLineNumbers/>
    </w:pPr>
    <w:rPr>
      <w:rFonts w:cs="Lohit Devanagari"/>
    </w:rPr>
  </w:style>
  <w:style w:type="paragraph" w:customStyle="1" w:styleId="60">
    <w:name w:val="正文缩进1"/>
    <w:basedOn w:val="1"/>
    <w:uiPriority w:val="0"/>
    <w:pPr>
      <w:ind w:firstLine="420"/>
    </w:pPr>
    <w:rPr>
      <w:rFonts w:ascii="Times New Roman" w:hAnsi="Times New Roman" w:cs="Times New Roman"/>
      <w:sz w:val="24"/>
    </w:rPr>
  </w:style>
  <w:style w:type="paragraph" w:customStyle="1" w:styleId="61">
    <w:name w:val="题注1"/>
    <w:basedOn w:val="1"/>
    <w:next w:val="1"/>
    <w:uiPriority w:val="0"/>
    <w:pPr>
      <w:spacing w:before="152" w:after="160"/>
    </w:pPr>
  </w:style>
  <w:style w:type="paragraph" w:customStyle="1" w:styleId="62">
    <w:name w:val="文档结构图1"/>
    <w:basedOn w:val="1"/>
    <w:uiPriority w:val="0"/>
    <w:pPr>
      <w:shd w:val="clear" w:color="auto" w:fill="000080"/>
    </w:pPr>
  </w:style>
  <w:style w:type="paragraph" w:customStyle="1" w:styleId="63">
    <w:name w:val="批注文字1"/>
    <w:basedOn w:val="1"/>
    <w:uiPriority w:val="0"/>
    <w:pPr>
      <w:spacing w:line="240" w:lineRule="auto"/>
    </w:pPr>
    <w:rPr>
      <w:color w:val="0000FF"/>
      <w:sz w:val="18"/>
    </w:rPr>
  </w:style>
  <w:style w:type="paragraph" w:customStyle="1" w:styleId="64">
    <w:name w:val="批注框文本1"/>
    <w:basedOn w:val="1"/>
    <w:uiPriority w:val="0"/>
    <w:rPr>
      <w:sz w:val="18"/>
      <w:szCs w:val="18"/>
    </w:rPr>
  </w:style>
  <w:style w:type="paragraph" w:customStyle="1" w:styleId="65">
    <w:name w:val="Header and Footer"/>
    <w:basedOn w:val="1"/>
    <w:uiPriority w:val="6"/>
    <w:pPr>
      <w:suppressLineNumbers/>
      <w:tabs>
        <w:tab w:val="center" w:pos="4819"/>
        <w:tab w:val="right" w:pos="9638"/>
      </w:tabs>
    </w:pPr>
  </w:style>
  <w:style w:type="paragraph" w:customStyle="1" w:styleId="66">
    <w:name w:val="图表目录1"/>
    <w:basedOn w:val="1"/>
    <w:next w:val="1"/>
    <w:uiPriority w:val="0"/>
    <w:pPr>
      <w:ind w:left="480" w:hanging="480"/>
    </w:pPr>
    <w:rPr>
      <w:smallCaps/>
      <w:szCs w:val="24"/>
    </w:rPr>
  </w:style>
  <w:style w:type="paragraph" w:customStyle="1" w:styleId="67">
    <w:name w:val="信息标题1"/>
    <w:basedOn w:val="13"/>
    <w:uiPriority w:val="0"/>
    <w:pPr>
      <w:keepLines/>
      <w:widowControl/>
      <w:tabs>
        <w:tab w:val="left" w:pos="1080"/>
      </w:tabs>
      <w:spacing w:line="240" w:lineRule="atLeast"/>
      <w:ind w:left="1080" w:hanging="1080"/>
    </w:pPr>
    <w:rPr>
      <w:rFonts w:ascii="Garamond" w:hAnsi="Garamond" w:cs="Garamond"/>
      <w:caps/>
      <w:kern w:val="0"/>
      <w:sz w:val="18"/>
    </w:rPr>
  </w:style>
  <w:style w:type="paragraph" w:customStyle="1" w:styleId="68">
    <w:name w:val="普通(网站)1"/>
    <w:basedOn w:val="1"/>
    <w:uiPriority w:val="2"/>
    <w:pPr>
      <w:spacing w:before="100" w:after="100"/>
    </w:pPr>
    <w:rPr>
      <w:rFonts w:cs="Times New Roman"/>
      <w:kern w:val="0"/>
      <w:sz w:val="24"/>
    </w:rPr>
  </w:style>
  <w:style w:type="paragraph" w:customStyle="1" w:styleId="69">
    <w:name w:val="Normal-Table"/>
    <w:basedOn w:val="1"/>
    <w:uiPriority w:val="7"/>
    <w:pPr>
      <w:widowControl/>
      <w:spacing w:after="60" w:line="240" w:lineRule="auto"/>
    </w:pPr>
    <w:rPr>
      <w:rFonts w:ascii="宋体" w:hAnsi="宋体"/>
      <w:kern w:val="0"/>
      <w:lang w:val="en-GB" w:eastAsia="en-US"/>
    </w:rPr>
  </w:style>
  <w:style w:type="paragraph" w:customStyle="1" w:styleId="70">
    <w:name w:val="Table Contents"/>
    <w:basedOn w:val="1"/>
    <w:uiPriority w:val="6"/>
    <w:pPr>
      <w:suppressLineNumbers/>
    </w:pPr>
  </w:style>
  <w:style w:type="paragraph" w:customStyle="1" w:styleId="71">
    <w:name w:val="Table Heading"/>
    <w:basedOn w:val="70"/>
    <w:uiPriority w:val="6"/>
    <w:rPr>
      <w:b/>
      <w:bCs/>
    </w:rPr>
  </w:style>
  <w:style w:type="paragraph" w:customStyle="1" w:styleId="72">
    <w:name w:val="Frame Contents"/>
    <w:basedOn w:val="1"/>
    <w:uiPriority w:val="6"/>
  </w:style>
  <w:style w:type="table" w:customStyle="1" w:styleId="73">
    <w:name w:val="表格"/>
    <w:basedOn w:val="20"/>
    <w:uiPriority w:val="99"/>
    <w:rPr>
      <w:rFonts w:eastAsiaTheme="minorEastAsia"/>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
    <w:name w:val="Table"/>
    <w:basedOn w:val="22"/>
    <w:uiPriority w:val="99"/>
    <w:rPr>
      <w:rFonts w:eastAsia="宋体"/>
      <w:sz w:val="21"/>
    </w:rPr>
  </w:style>
  <w:style w:type="paragraph" w:customStyle="1" w:styleId="75">
    <w:name w:val="Source Code"/>
    <w:uiPriority w:val="0"/>
    <w:pPr>
      <w:wordWrap w:val="0"/>
    </w:pPr>
    <w:rPr>
      <w:rFonts w:ascii="Times New Roman" w:hAnsi="Times New Roman" w:eastAsia="等线" w:cs="Times New Roman"/>
      <w:lang w:val="en-US" w:eastAsia="zh-CN" w:bidi="ar-SA"/>
    </w:rPr>
  </w:style>
  <w:style w:type="character" w:customStyle="1" w:styleId="76">
    <w:name w:val="KeywordTok"/>
    <w:uiPriority w:val="0"/>
    <w:rPr>
      <w:b/>
      <w:color w:val="007020"/>
    </w:rPr>
  </w:style>
  <w:style w:type="character" w:customStyle="1" w:styleId="77">
    <w:name w:val="DataTypeTok"/>
    <w:uiPriority w:val="0"/>
    <w:rPr>
      <w:color w:val="902000"/>
    </w:rPr>
  </w:style>
  <w:style w:type="character" w:customStyle="1" w:styleId="78">
    <w:name w:val="DecValTok"/>
    <w:uiPriority w:val="0"/>
    <w:rPr>
      <w:color w:val="40A070"/>
    </w:rPr>
  </w:style>
  <w:style w:type="character" w:customStyle="1" w:styleId="79">
    <w:name w:val="BaseNTok"/>
    <w:uiPriority w:val="0"/>
    <w:rPr>
      <w:color w:val="40A070"/>
    </w:rPr>
  </w:style>
  <w:style w:type="character" w:customStyle="1" w:styleId="80">
    <w:name w:val="FloatTok"/>
    <w:uiPriority w:val="0"/>
    <w:rPr>
      <w:color w:val="40A070"/>
    </w:rPr>
  </w:style>
  <w:style w:type="character" w:customStyle="1" w:styleId="81">
    <w:name w:val="ConstantTok"/>
    <w:uiPriority w:val="0"/>
    <w:rPr>
      <w:color w:val="880000"/>
    </w:rPr>
  </w:style>
  <w:style w:type="character" w:customStyle="1" w:styleId="82">
    <w:name w:val="CharTok"/>
    <w:uiPriority w:val="0"/>
    <w:rPr>
      <w:color w:val="4070A0"/>
    </w:rPr>
  </w:style>
  <w:style w:type="character" w:customStyle="1" w:styleId="83">
    <w:name w:val="SpecialCharTok"/>
    <w:uiPriority w:val="0"/>
    <w:rPr>
      <w:color w:val="4070A0"/>
    </w:rPr>
  </w:style>
  <w:style w:type="character" w:customStyle="1" w:styleId="84">
    <w:name w:val="StringTok"/>
    <w:uiPriority w:val="0"/>
    <w:rPr>
      <w:color w:val="4070A0"/>
    </w:rPr>
  </w:style>
  <w:style w:type="character" w:customStyle="1" w:styleId="85">
    <w:name w:val="VerbatimStringTok"/>
    <w:uiPriority w:val="0"/>
    <w:rPr>
      <w:color w:val="4070A0"/>
    </w:rPr>
  </w:style>
  <w:style w:type="character" w:customStyle="1" w:styleId="86">
    <w:name w:val="SpecialStringTok"/>
    <w:uiPriority w:val="0"/>
    <w:rPr>
      <w:color w:val="BB6688"/>
    </w:rPr>
  </w:style>
  <w:style w:type="character" w:customStyle="1" w:styleId="87">
    <w:name w:val="ImportTok"/>
    <w:uiPriority w:val="0"/>
    <w:rPr>
      <w:b/>
      <w:color w:val="008000"/>
    </w:rPr>
  </w:style>
  <w:style w:type="character" w:customStyle="1" w:styleId="88">
    <w:name w:val="CommentTok"/>
    <w:uiPriority w:val="0"/>
    <w:rPr>
      <w:i/>
      <w:color w:val="60A0B0"/>
    </w:rPr>
  </w:style>
  <w:style w:type="character" w:customStyle="1" w:styleId="89">
    <w:name w:val="DocumentationTok"/>
    <w:uiPriority w:val="0"/>
    <w:rPr>
      <w:i/>
      <w:color w:val="BA2121"/>
    </w:rPr>
  </w:style>
  <w:style w:type="character" w:customStyle="1" w:styleId="90">
    <w:name w:val="AnnotationTok"/>
    <w:uiPriority w:val="0"/>
    <w:rPr>
      <w:b/>
      <w:i/>
      <w:color w:val="60A0B0"/>
    </w:rPr>
  </w:style>
  <w:style w:type="character" w:customStyle="1" w:styleId="91">
    <w:name w:val="CommentVarTok"/>
    <w:uiPriority w:val="0"/>
    <w:rPr>
      <w:b/>
      <w:i/>
      <w:color w:val="60A0B0"/>
    </w:rPr>
  </w:style>
  <w:style w:type="character" w:customStyle="1" w:styleId="92">
    <w:name w:val="OtherTok"/>
    <w:uiPriority w:val="0"/>
    <w:rPr>
      <w:color w:val="007020"/>
    </w:rPr>
  </w:style>
  <w:style w:type="character" w:customStyle="1" w:styleId="93">
    <w:name w:val="FunctionTok"/>
    <w:uiPriority w:val="0"/>
    <w:rPr>
      <w:color w:val="06287E"/>
    </w:rPr>
  </w:style>
  <w:style w:type="character" w:customStyle="1" w:styleId="94">
    <w:name w:val="VariableTok"/>
    <w:uiPriority w:val="0"/>
    <w:rPr>
      <w:color w:val="19177C"/>
    </w:rPr>
  </w:style>
  <w:style w:type="character" w:customStyle="1" w:styleId="95">
    <w:name w:val="ControlFlowTok"/>
    <w:uiPriority w:val="0"/>
    <w:rPr>
      <w:b/>
      <w:color w:val="007020"/>
    </w:rPr>
  </w:style>
  <w:style w:type="character" w:customStyle="1" w:styleId="96">
    <w:name w:val="OperatorTok"/>
    <w:uiPriority w:val="0"/>
    <w:rPr>
      <w:color w:val="666666"/>
    </w:rPr>
  </w:style>
  <w:style w:type="character" w:customStyle="1" w:styleId="97">
    <w:name w:val="BuiltInTok"/>
    <w:uiPriority w:val="0"/>
    <w:rPr>
      <w:color w:val="008000"/>
    </w:rPr>
  </w:style>
  <w:style w:type="character" w:customStyle="1" w:styleId="98">
    <w:name w:val="ExtensionTok"/>
    <w:uiPriority w:val="0"/>
  </w:style>
  <w:style w:type="character" w:customStyle="1" w:styleId="99">
    <w:name w:val="PreprocessorTok"/>
    <w:uiPriority w:val="0"/>
    <w:rPr>
      <w:color w:val="BC7A00"/>
    </w:rPr>
  </w:style>
  <w:style w:type="character" w:customStyle="1" w:styleId="100">
    <w:name w:val="AttributeTok"/>
    <w:uiPriority w:val="0"/>
    <w:rPr>
      <w:color w:val="7D9029"/>
    </w:rPr>
  </w:style>
  <w:style w:type="character" w:customStyle="1" w:styleId="101">
    <w:name w:val="RegionMarkerTok"/>
    <w:uiPriority w:val="0"/>
  </w:style>
  <w:style w:type="character" w:customStyle="1" w:styleId="102">
    <w:name w:val="InformationTok"/>
    <w:uiPriority w:val="0"/>
    <w:rPr>
      <w:b/>
      <w:i/>
      <w:color w:val="60A0B0"/>
    </w:rPr>
  </w:style>
  <w:style w:type="character" w:customStyle="1" w:styleId="103">
    <w:name w:val="WarningTok"/>
    <w:uiPriority w:val="0"/>
    <w:rPr>
      <w:b/>
      <w:i/>
      <w:color w:val="60A0B0"/>
    </w:rPr>
  </w:style>
  <w:style w:type="character" w:customStyle="1" w:styleId="104">
    <w:name w:val="AlertTok"/>
    <w:uiPriority w:val="0"/>
    <w:rPr>
      <w:b/>
      <w:color w:val="FF0000"/>
    </w:rPr>
  </w:style>
  <w:style w:type="character" w:customStyle="1" w:styleId="105">
    <w:name w:val="ErrorTok"/>
    <w:uiPriority w:val="0"/>
    <w:rPr>
      <w:b/>
      <w:color w:val="FF0000"/>
    </w:rPr>
  </w:style>
  <w:style w:type="character" w:customStyle="1" w:styleId="106">
    <w:name w:val="NormalTok"/>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2559</Words>
  <Characters>2765</Characters>
  <Lines>276</Lines>
  <Paragraphs>332</Paragraphs>
  <TotalTime>1</TotalTime>
  <ScaleCrop>false</ScaleCrop>
  <LinksUpToDate>false</LinksUpToDate>
  <CharactersWithSpaces>4992</CharactersWithSpaces>
  <Application>WPS Office_12.1.25200.25200_F1E327BC-269C-435d-A152-05C5408002CA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2026-03-24T15:17:00Z</dcterms:created>
  <dc:creator>系统设计团队</dc:creator>
  <cp:lastModifiedBy>weijie Tang</cp:lastModifiedBy>
  <dcterms:modified xsi:type="dcterms:W3CDTF">2026-03-24T15:23:10Z</dcterms:modified>
  <dc:title>PostgreSQL 16 容灾与资源申请说明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ty">
    <vt:lpwstr>secondary</vt:lpwstr>
  </property>
  <property fmtid="{D5CDD505-2E9C-101B-9397-08002B2CF9AE}" pid="3" name="date">
    <vt:lpwstr>2026年03月24日</vt:lpwstr>
  </property>
  <property fmtid="{D5CDD505-2E9C-101B-9397-08002B2CF9AE}" pid="4" name="doc_id">
    <vt:lpwstr>TC-07-PGSQL-DR</vt:lpwstr>
  </property>
  <property fmtid="{D5CDD505-2E9C-101B-9397-08002B2CF9AE}" pid="5" name="doc_role">
    <vt:lpwstr>supplemental_document</vt:lpwstr>
  </property>
  <property fmtid="{D5CDD505-2E9C-101B-9397-08002B2CF9AE}" pid="6" name="last_reviewed">
    <vt:lpwstr>2026-03-24</vt:lpwstr>
  </property>
  <property fmtid="{D5CDD505-2E9C-101B-9397-08002B2CF9AE}" pid="7" name="retrieval_priority">
    <vt:lpwstr>P1</vt:lpwstr>
  </property>
  <property fmtid="{D5CDD505-2E9C-101B-9397-08002B2CF9AE}" pid="8" name="scope">
    <vt:lpwstr>PostgreSQL 16 容灾资源申请</vt:lpwstr>
  </property>
  <property fmtid="{D5CDD505-2E9C-101B-9397-08002B2CF9AE}" pid="9" name="source_of_truth">
    <vt:lpwstr>False</vt:lpwstr>
  </property>
  <property fmtid="{D5CDD505-2E9C-101B-9397-08002B2CF9AE}" pid="10" name="KSOProductBuildVer">
    <vt:lpwstr>2052-12.1.25200.25200</vt:lpwstr>
  </property>
  <property fmtid="{D5CDD505-2E9C-101B-9397-08002B2CF9AE}" pid="11" name="ICV">
    <vt:lpwstr>D106D7CFC2C165E76B3BC269D2BF282C_42</vt:lpwstr>
  </property>
</Properties>
</file>