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C9DD04">
      <w:pPr>
        <w:pStyle w:val="2"/>
      </w:pPr>
      <w:r>
        <w:t>系统概要设计文档</w:t>
      </w:r>
    </w:p>
    <w:p w14:paraId="22DABA6F">
      <w:pPr>
        <w:pStyle w:val="3"/>
      </w:pPr>
      <w:r>
        <w:t>1. 引言</w:t>
      </w:r>
    </w:p>
    <w:p w14:paraId="0617F731">
      <w:pPr>
        <w:pStyle w:val="4"/>
      </w:pPr>
      <w:r>
        <w:t>1.1 编写目的</w:t>
      </w:r>
    </w:p>
    <w:p w14:paraId="447CB3B4"/>
    <w:p w14:paraId="310D6DAA">
      <w:pPr>
        <w:rPr>
          <w:rFonts w:hint="default"/>
          <w:lang w:val="en-US"/>
        </w:rPr>
      </w:pPr>
      <w:r>
        <w:rPr>
          <w:lang w:val="en-US"/>
        </w:rPr>
        <w:t>本系统概要设计文档的编写目的旨在全面阐述系统的设计思路、架构以及关键模块的功能，为系统的后续开发、测试和维护提供明确的方向和依据。通过本文档的详细阐述，确保项目团队成员对系统有共同的理解和认识，促进项目顺利进行，同时，也为项目的管理和评估提供有力的支持。</w:t>
      </w:r>
    </w:p>
    <w:p w14:paraId="7A15804D">
      <w:pPr>
        <w:pStyle w:val="4"/>
        <w:spacing w:after="260"/>
      </w:pPr>
      <w:r>
        <w:t>1.2 背景</w:t>
      </w:r>
    </w:p>
    <w:p w14:paraId="1A696ABC">
      <w:r>
        <w:t>福建水务营收系统以 RuoYi-Vue-Pro 与 yudao-ui-admin-vue3 框架为依托，是一套现代化的水务营收管理体系。其目标在于承接原有系统全部功能，并借助技术升级，全面提升系统性能、安全性及用户体验。</w:t>
      </w:r>
    </w:p>
    <w:p w14:paraId="6E69AA88">
      <w:r>
        <w:t>当下，福建水投集团紧紧把握城乡供水一体化建设契机，遵循“发展提质、管理提升、经营提效、党建提档”的工作思路，大力推进企业改革。通过强化资本运作，不断拓宽产业布局，延伸产业链条，借势发展。同时，创新管理体制，增强经营活力，积极构建“产权明晰、权责明确、政企分开、管理科学”的现代企业制度，力求打造成为资产优质、支撑作用显著的省级水利综合性投融资企业，以及主营业务突出、综合效益良好的水利行业上市企业，更要成为产业特色鲜明、服务功能完备、兼具公益性与经营性的全国水利行业龙头企业，助力水利事业发展，服务生态建设，为新福建建设提供坚实水利保障。</w:t>
      </w:r>
    </w:p>
    <w:p w14:paraId="62066ECC">
      <w:r>
        <w:t>依据《福建水投集团城乡供水一体化数字水务建设标准指南(试行)》规划，综合各区县水司营业收费管理实际情况，集团决定建设营业收费管理系统。目前，各区县水司营业收费系统由不同软件厂商供应，技术与数据标准各异，这给集团统一数据汇聚、分析，以及统一管理、决策分析、规划实施和政策执行带来诸多不便。为实现自主研究与国产化，建设适配的营业收费管理系统迫在眉睫。</w:t>
      </w:r>
    </w:p>
    <w:p w14:paraId="7989D8A8"/>
    <w:p w14:paraId="09B63E9E">
      <w:pPr>
        <w:pStyle w:val="4"/>
      </w:pPr>
      <w:r>
        <w:t>1.3 定义</w:t>
      </w:r>
    </w:p>
    <w:p w14:paraId="48A9ABDF"/>
    <w:p w14:paraId="03C8F16A">
      <w:pPr>
        <w:rPr>
          <w:rFonts w:hint="eastAsia"/>
          <w:lang w:eastAsia="zh-CN"/>
        </w:rPr>
      </w:pPr>
      <w:r>
        <w:rPr>
          <w:rFonts w:hint="eastAsia"/>
          <w:lang w:eastAsia="zh-CN"/>
        </w:rPr>
        <w:t>在本文档中，将明确界定以下几个关键术语和概念，以确保后续内容的准确性和一致性：</w:t>
      </w:r>
    </w:p>
    <w:p w14:paraId="3A5D2E04">
      <w:pPr>
        <w:rPr>
          <w:rFonts w:hint="eastAsia"/>
          <w:lang w:eastAsia="zh-CN"/>
        </w:rPr>
      </w:pPr>
      <w:r>
        <w:rPr>
          <w:rFonts w:hint="eastAsia"/>
          <w:lang w:eastAsia="zh-CN"/>
        </w:rPr>
        <w:t xml:space="preserve"> 系统：指福建水务营收系统，一个基于 RuoYi-Vue-Pro 与 yudao-ui-admin-vue3 框架构建的水务营收管理体系。</w:t>
      </w:r>
    </w:p>
    <w:p w14:paraId="04C7AC19">
      <w:pPr>
        <w:rPr>
          <w:rFonts w:hint="eastAsia"/>
          <w:lang w:eastAsia="zh-CN"/>
        </w:rPr>
      </w:pPr>
      <w:r>
        <w:rPr>
          <w:rFonts w:hint="eastAsia"/>
          <w:lang w:eastAsia="zh-CN"/>
        </w:rPr>
        <w:t xml:space="preserve"> 架构设计：涉及系统的整体结构、模块划分、接口定义以及数据交互方式等方面的规划。</w:t>
      </w:r>
    </w:p>
    <w:p w14:paraId="2B3A5934">
      <w:pPr>
        <w:rPr>
          <w:rFonts w:hint="eastAsia"/>
          <w:lang w:eastAsia="zh-CN"/>
        </w:rPr>
      </w:pPr>
      <w:r>
        <w:rPr>
          <w:rFonts w:hint="eastAsia"/>
          <w:lang w:eastAsia="zh-CN"/>
        </w:rPr>
        <w:t xml:space="preserve"> 关键模块：指系统中承担核心功能的组成部分，如用户管理、收费管理、报表生成等。</w:t>
      </w:r>
    </w:p>
    <w:p w14:paraId="3AA8F4B6">
      <w:pPr>
        <w:rPr>
          <w:rFonts w:hint="eastAsia"/>
          <w:lang w:eastAsia="zh-CN"/>
        </w:rPr>
      </w:pPr>
      <w:r>
        <w:rPr>
          <w:rFonts w:hint="eastAsia"/>
          <w:lang w:eastAsia="zh-CN"/>
        </w:rPr>
        <w:t xml:space="preserve"> 功能需求：详细描述系统应实现的具体功能，包括但不限于用户登录、费用查询、账单生成、支付处理等。</w:t>
      </w:r>
    </w:p>
    <w:p w14:paraId="52A39A99">
      <w:pPr>
        <w:rPr>
          <w:rFonts w:hint="eastAsia"/>
          <w:lang w:eastAsia="zh-CN"/>
        </w:rPr>
      </w:pPr>
      <w:r>
        <w:rPr>
          <w:rFonts w:hint="eastAsia"/>
          <w:lang w:eastAsia="zh-CN"/>
        </w:rPr>
        <w:t xml:space="preserve"> 性能指标：衡量系统性能的关键参数，如响应时间、吞吐量、并发用户数等，旨在确保系统能够满足实际应用场景的需求。</w:t>
      </w:r>
    </w:p>
    <w:p w14:paraId="434A4516">
      <w:pPr>
        <w:rPr>
          <w:rFonts w:hint="eastAsia"/>
          <w:lang w:eastAsia="zh-CN"/>
        </w:rPr>
      </w:pPr>
      <w:r>
        <w:rPr>
          <w:rFonts w:hint="eastAsia"/>
          <w:lang w:eastAsia="zh-CN"/>
        </w:rPr>
        <w:t xml:space="preserve"> 安全性要求：确保系统免受外部攻击、数据泄露等安全威胁的措施和规范，包括数据加密、访问控制、安全审计等方面。</w:t>
      </w:r>
    </w:p>
    <w:p w14:paraId="7160B268">
      <w:pPr>
        <w:rPr>
          <w:rFonts w:hint="eastAsia"/>
          <w:lang w:eastAsia="zh-CN"/>
        </w:rPr>
      </w:pPr>
      <w:r>
        <w:rPr>
          <w:rFonts w:hint="eastAsia"/>
          <w:lang w:eastAsia="zh-CN"/>
        </w:rPr>
        <w:t>通过明确这些定义，本文档旨在为系统的后续开发、测试和维护提供一个清晰、准确的参考框架。</w:t>
      </w:r>
    </w:p>
    <w:p w14:paraId="1A0A44FA">
      <w:pPr>
        <w:pStyle w:val="4"/>
      </w:pPr>
      <w:r>
        <w:t>1.4 参考资料</w:t>
      </w:r>
    </w:p>
    <w:p w14:paraId="624CE3F2">
      <w:pPr>
        <w:keepNext w:val="0"/>
        <w:keepLines w:val="0"/>
        <w:widowControl/>
        <w:suppressLineNumbers w:val="0"/>
        <w:shd w:val="clear" w:fill="EBEEF5"/>
        <w:spacing w:line="360" w:lineRule="atLeast"/>
        <w:jc w:val="left"/>
        <w:rPr>
          <w:rFonts w:ascii="Menlo" w:hAnsi="Menlo" w:eastAsia="Menlo" w:cs="Menlo"/>
          <w:b w:val="0"/>
          <w:bCs w:val="0"/>
          <w:color w:val="5D5D5F"/>
          <w:sz w:val="24"/>
          <w:szCs w:val="24"/>
        </w:rPr>
      </w:pPr>
      <w:r>
        <w:rPr>
          <w:rFonts w:hint="default" w:ascii="Menlo" w:hAnsi="Menlo" w:eastAsia="Menlo" w:cs="Menlo"/>
          <w:b w:val="0"/>
          <w:bCs w:val="0"/>
          <w:color w:val="626264"/>
          <w:kern w:val="0"/>
          <w:sz w:val="24"/>
          <w:szCs w:val="24"/>
          <w:shd w:val="clear" w:fill="EBEEF5"/>
          <w:lang w:val="en-US" w:eastAsia="zh-CN" w:bidi="ar"/>
        </w:rPr>
        <w:t>原系统《营收系统_详细设计说明书》</w:t>
      </w:r>
    </w:p>
    <w:p w14:paraId="3CC04F4D">
      <w:pPr>
        <w:keepNext w:val="0"/>
        <w:keepLines w:val="0"/>
        <w:widowControl/>
        <w:suppressLineNumbers w:val="0"/>
        <w:shd w:val="clear" w:fill="EBEEF5"/>
        <w:spacing w:line="360" w:lineRule="atLeast"/>
        <w:jc w:val="left"/>
        <w:rPr>
          <w:rFonts w:hint="default" w:ascii="Menlo" w:hAnsi="Menlo" w:eastAsia="Menlo" w:cs="Menlo"/>
          <w:b w:val="0"/>
          <w:bCs w:val="0"/>
          <w:color w:val="5D5D5F"/>
          <w:sz w:val="24"/>
          <w:szCs w:val="24"/>
        </w:rPr>
      </w:pPr>
      <w:r>
        <w:rPr>
          <w:rFonts w:hint="default" w:ascii="Menlo" w:hAnsi="Menlo" w:eastAsia="Menlo" w:cs="Menlo"/>
          <w:b w:val="0"/>
          <w:bCs w:val="0"/>
          <w:color w:val="626264"/>
          <w:kern w:val="0"/>
          <w:sz w:val="24"/>
          <w:szCs w:val="24"/>
          <w:shd w:val="clear" w:fill="EBEEF5"/>
          <w:lang w:val="en-US" w:eastAsia="zh-CN" w:bidi="ar"/>
        </w:rPr>
        <w:t>原系统《营收系统_需求规格说明书》</w:t>
      </w:r>
    </w:p>
    <w:p w14:paraId="2FAEC1A5">
      <w:pPr>
        <w:keepNext w:val="0"/>
        <w:keepLines w:val="0"/>
        <w:widowControl/>
        <w:suppressLineNumbers w:val="0"/>
        <w:shd w:val="clear" w:fill="EBEEF5"/>
        <w:spacing w:line="360" w:lineRule="atLeast"/>
        <w:jc w:val="left"/>
        <w:rPr>
          <w:rFonts w:hint="default" w:ascii="Menlo" w:hAnsi="Menlo" w:eastAsia="Menlo" w:cs="Menlo"/>
          <w:b w:val="0"/>
          <w:bCs w:val="0"/>
          <w:color w:val="5D5D5F"/>
          <w:sz w:val="24"/>
          <w:szCs w:val="24"/>
        </w:rPr>
      </w:pPr>
      <w:r>
        <w:rPr>
          <w:rFonts w:hint="default" w:ascii="Menlo" w:hAnsi="Menlo" w:eastAsia="Menlo" w:cs="Menlo"/>
          <w:b w:val="0"/>
          <w:bCs w:val="0"/>
          <w:color w:val="626264"/>
          <w:kern w:val="0"/>
          <w:sz w:val="24"/>
          <w:szCs w:val="24"/>
          <w:shd w:val="clear" w:fill="EBEEF5"/>
          <w:lang w:val="en-US" w:eastAsia="zh-CN" w:bidi="ar"/>
        </w:rPr>
        <w:t>原系统《营收系统_用户操作手册》</w:t>
      </w:r>
    </w:p>
    <w:p w14:paraId="670FF331">
      <w:pPr>
        <w:keepNext w:val="0"/>
        <w:keepLines w:val="0"/>
        <w:widowControl/>
        <w:suppressLineNumbers w:val="0"/>
        <w:shd w:val="clear" w:fill="EBEEF5"/>
        <w:spacing w:line="360" w:lineRule="atLeast"/>
        <w:jc w:val="left"/>
        <w:rPr>
          <w:rFonts w:hint="default" w:ascii="Menlo" w:hAnsi="Menlo" w:eastAsia="Menlo" w:cs="Menlo"/>
          <w:b w:val="0"/>
          <w:bCs w:val="0"/>
          <w:color w:val="5D5D5F"/>
          <w:sz w:val="24"/>
          <w:szCs w:val="24"/>
        </w:rPr>
      </w:pPr>
      <w:r>
        <w:rPr>
          <w:rFonts w:hint="default" w:ascii="Menlo" w:hAnsi="Menlo" w:eastAsia="Menlo" w:cs="Menlo"/>
          <w:b w:val="0"/>
          <w:bCs w:val="0"/>
          <w:color w:val="626264"/>
          <w:kern w:val="0"/>
          <w:sz w:val="24"/>
          <w:szCs w:val="24"/>
          <w:shd w:val="clear" w:fill="EBEEF5"/>
          <w:lang w:val="en-US" w:eastAsia="zh-CN" w:bidi="ar"/>
        </w:rPr>
        <w:t>RuoYi-Vue-Pro框架开发文档</w:t>
      </w:r>
    </w:p>
    <w:p w14:paraId="52261097">
      <w:pPr>
        <w:keepNext w:val="0"/>
        <w:keepLines w:val="0"/>
        <w:widowControl/>
        <w:suppressLineNumbers w:val="0"/>
        <w:shd w:val="clear" w:fill="EBEEF5"/>
        <w:spacing w:line="360" w:lineRule="atLeast"/>
        <w:jc w:val="left"/>
        <w:rPr>
          <w:rFonts w:hint="default" w:ascii="Menlo" w:hAnsi="Menlo" w:eastAsia="Menlo" w:cs="Menlo"/>
          <w:b w:val="0"/>
          <w:bCs w:val="0"/>
          <w:color w:val="5D5D5F"/>
          <w:sz w:val="24"/>
          <w:szCs w:val="24"/>
        </w:rPr>
      </w:pPr>
      <w:r>
        <w:rPr>
          <w:rFonts w:hint="default" w:ascii="Menlo" w:hAnsi="Menlo" w:eastAsia="Menlo" w:cs="Menlo"/>
          <w:b w:val="0"/>
          <w:bCs w:val="0"/>
          <w:color w:val="626264"/>
          <w:kern w:val="0"/>
          <w:sz w:val="24"/>
          <w:szCs w:val="24"/>
          <w:shd w:val="clear" w:fill="EBEEF5"/>
          <w:lang w:val="en-US" w:eastAsia="zh-CN" w:bidi="ar"/>
        </w:rPr>
        <w:t>yudao-ui-admin-vue3框架开发文档</w:t>
      </w:r>
    </w:p>
    <w:p w14:paraId="7DCF693D"/>
    <w:p w14:paraId="7E135CE1">
      <w:pPr>
        <w:pStyle w:val="3"/>
      </w:pPr>
      <w:r>
        <w:t>2. 总体设计</w:t>
      </w:r>
    </w:p>
    <w:p w14:paraId="5B75C7AF">
      <w:pPr>
        <w:pStyle w:val="4"/>
        <w:spacing w:after="260"/>
      </w:pPr>
      <w:r>
        <w:t>2.1 系统目标</w:t>
      </w:r>
    </w:p>
    <w:p w14:paraId="5A560064">
      <w:r>
        <w:t>福建水务业务系统是以客户关系数据库为核心和基础的综合管理平台，包含客户完整的资料和数据，实现客户全生命周期管理。系统建设的主要目标如下：</w:t>
      </w:r>
    </w:p>
    <w:p w14:paraId="0EAD68B4">
      <w:pPr>
        <w:pStyle w:val="4"/>
      </w:pPr>
      <w:r>
        <w:t>统一资源服务</w:t>
      </w:r>
    </w:p>
    <w:p w14:paraId="071F9A3E">
      <w:r>
        <w:t>在集团现有基础上，建设统一的数字水务系统运行资源环境，为集团下属各分公司提供日常业务的 IT 运营环境服务。</w:t>
      </w:r>
    </w:p>
    <w:p w14:paraId="3FB94069">
      <w:pPr>
        <w:pStyle w:val="4"/>
      </w:pPr>
      <w:r>
        <w:t>统一平台应用</w:t>
      </w:r>
    </w:p>
    <w:p w14:paraId="07884094">
      <w:r>
        <w:t>根据业务需要，在集团所属分公司在用的营收、新装、表务系统基础上进行全面改造升级，统一业务，集中汇集数据，形成统一、多租户管理模式的营业收费系统。集团所属各分公司不再独立建设业务系统基础设施和开发应用系统，实现“一个业务平台、一网通平台”的建设目标。</w:t>
      </w:r>
    </w:p>
    <w:p w14:paraId="425A6B00">
      <w:pPr>
        <w:pStyle w:val="4"/>
      </w:pPr>
      <w:r>
        <w:t>统一业务平台功能</w:t>
      </w:r>
    </w:p>
    <w:p w14:paraId="3B94BAD0">
      <w:r>
        <w:t>建设平台具备集团、分公司、分公司所属业务站点多租户管理模式，实现对用水客户的营收业务、新装业务、表务业务管理功能；各租户之间独立，数据统一汇总到集团数据中心。</w:t>
      </w:r>
    </w:p>
    <w:p w14:paraId="72B80052">
      <w:pPr>
        <w:pStyle w:val="4"/>
      </w:pPr>
      <w:r>
        <w:t>统一对外接口</w:t>
      </w:r>
    </w:p>
    <w:p w14:paraId="50D63DE9">
      <w:r>
        <w:t>整合统一用户资源，与相关业务系统对接提供标准的接口和能力。</w:t>
      </w:r>
    </w:p>
    <w:p w14:paraId="04068155">
      <w:pPr>
        <w:pStyle w:val="4"/>
      </w:pPr>
      <w:r>
        <w:t>统一对外服务</w:t>
      </w:r>
    </w:p>
    <w:p w14:paraId="736AEF9B">
      <w:r>
        <w:t>统一对外服务标准，为百姓提供便民服务，做到从“群众跑路”到“数据跑腿”的转变，简化百姓办事流程、提高办事效率、提升百姓的获得感，塑造良好的企业形象。</w:t>
      </w:r>
    </w:p>
    <w:p w14:paraId="0CC9F5E9"/>
    <w:p w14:paraId="7BBD5EFA">
      <w:r>
        <w:t>通过系统的建设，实现福建省水投数字科技有限公司客户服务管理领域的业务流程梳理再造、组织架构的优化、管理制度的建设、绩效考核标准的建设。构建以客户为中心的客户服务平台，将客户的所有信息进行有机的关联，方便企业对客户信息进行综合分析和管理，为客户提供更多、更便捷、更主动的个性化服务，提高客户服务的质量和客户满意度。</w:t>
      </w:r>
    </w:p>
    <w:p w14:paraId="44D351C5">
      <w:pPr>
        <w:rPr>
          <w:rFonts w:hint="default"/>
          <w:lang w:val="en-US"/>
        </w:rPr>
      </w:pPr>
    </w:p>
    <w:p w14:paraId="20F3ECB9">
      <w:pPr>
        <w:pStyle w:val="4"/>
      </w:pPr>
      <w:r>
        <w:t>2.2 系统架构</w:t>
      </w:r>
    </w:p>
    <w:p w14:paraId="1C5B0C54">
      <w:r>
        <w:drawing>
          <wp:inline distT="0" distB="0" distL="114300" distR="114300">
            <wp:extent cx="5272405" cy="9433560"/>
            <wp:effectExtent l="0" t="0" r="10795" b="1524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4"/>
                    <a:stretch>
                      <a:fillRect/>
                    </a:stretch>
                  </pic:blipFill>
                  <pic:spPr>
                    <a:xfrm>
                      <a:off x="0" y="0"/>
                      <a:ext cx="5272405" cy="9433560"/>
                    </a:xfrm>
                    <a:prstGeom prst="rect">
                      <a:avLst/>
                    </a:prstGeom>
                    <a:noFill/>
                    <a:ln>
                      <a:noFill/>
                    </a:ln>
                  </pic:spPr>
                </pic:pic>
              </a:graphicData>
            </a:graphic>
          </wp:inline>
        </w:drawing>
      </w:r>
    </w:p>
    <w:p w14:paraId="45DE5C37">
      <w:pPr>
        <w:pStyle w:val="4"/>
        <w:spacing w:after="260"/>
      </w:pPr>
      <w:r>
        <w:t>2.3 系统功能模块划分</w:t>
      </w:r>
    </w:p>
    <w:p w14:paraId="59F19333">
      <w:pPr>
        <w:numPr>
          <w:ilvl w:val="0"/>
          <w:numId w:val="1"/>
        </w:numPr>
        <w:spacing w:before="0" w:beforeAutospacing="1" w:after="0" w:afterAutospacing="1"/>
        <w:ind w:left="720" w:firstLine="0"/>
      </w:pPr>
      <w:r>
        <w:rPr>
          <w:b/>
        </w:rPr>
        <w:t>统一平台</w:t>
      </w:r>
      <w:r>
        <w:t>：包含单点登录（统一认证入口，支持多种登录方式）、系统管理（组织机构、员工管理、角色权限管理、菜单配置等）、流程节点提醒（工作流节点到期和状态变更提醒）。</w:t>
      </w:r>
    </w:p>
    <w:p w14:paraId="32F70F56">
      <w:pPr>
        <w:numPr>
          <w:ilvl w:val="0"/>
          <w:numId w:val="1"/>
        </w:numPr>
        <w:spacing w:before="0" w:beforeAutospacing="1" w:after="0" w:afterAutospacing="1"/>
        <w:ind w:left="720" w:firstLine="0"/>
      </w:pPr>
      <w:r>
        <w:rPr>
          <w:b/>
        </w:rPr>
        <w:t>营收系统</w:t>
      </w:r>
      <w:r>
        <w:t>：涵盖系统管理（水价管理、用户档案管理、更名过户管理等）、抄表开账（册本管理、抄表录入、复核开账等）、收费管理（柜台收费、特殊开账、柜台结账、批量缴费等）、账务处理（预存调整、未销调整、已销调整、分账调整等）、发票管理（发票查询、发票开具、电子发票等）、代收业务（实时收费、银行代扣、银行托收等）、环卫系统（计费核定、计费退补、计费减免等）、业务工单（业务清单、上报清单、稽查工单、移表工单等）。</w:t>
      </w:r>
    </w:p>
    <w:p w14:paraId="3D61D6A3">
      <w:pPr>
        <w:numPr>
          <w:ilvl w:val="0"/>
          <w:numId w:val="1"/>
        </w:numPr>
        <w:spacing w:before="0" w:beforeAutospacing="1" w:after="0" w:afterAutospacing="1"/>
        <w:ind w:left="720" w:firstLine="0"/>
      </w:pPr>
      <w:r>
        <w:rPr>
          <w:b/>
        </w:rPr>
        <w:t>客户服务</w:t>
      </w:r>
      <w:r>
        <w:t>：有微信、支付宝服务窗（账户绑定、用水查询、在线缴费等）、历史账单（账单查询、用水分析、账单推送等）、电子发票（发票申请、发票查询、发票下载等）、营业网点（网点查询、网点导航、业务指南等）、账户流水（流水查询、明细下载、交易统计等）、微网厅（用户注册、信息查询、业务办理等）。</w:t>
      </w:r>
    </w:p>
    <w:p w14:paraId="147B963E">
      <w:pPr>
        <w:numPr>
          <w:ilvl w:val="0"/>
          <w:numId w:val="1"/>
        </w:numPr>
        <w:spacing w:before="0" w:beforeAutospacing="1" w:after="0" w:afterAutospacing="1"/>
        <w:ind w:left="720" w:firstLine="0"/>
      </w:pPr>
      <w:r>
        <w:rPr>
          <w:b/>
        </w:rPr>
        <w:t>表务系统</w:t>
      </w:r>
      <w:r>
        <w:t>：涉及表务工单（换表工单、移表工单、拆表工单、复装工单等）、表务仓库（新表入库、水表检定、水表领用、水表出库等）、水表参数与基础信息（水表厂家管理、水表型号管理等）、物联网对接与数据同步（厂家设备信息管理、远程抄表数据同步等）。</w:t>
      </w:r>
    </w:p>
    <w:p w14:paraId="2D91E02F">
      <w:pPr>
        <w:numPr>
          <w:ilvl w:val="0"/>
          <w:numId w:val="1"/>
        </w:numPr>
        <w:spacing w:before="0" w:beforeAutospacing="1" w:after="0" w:afterAutospacing="1"/>
        <w:ind w:left="720" w:firstLine="0"/>
      </w:pPr>
      <w:r>
        <w:rPr>
          <w:b/>
        </w:rPr>
        <w:t>报装管理</w:t>
      </w:r>
      <w:r>
        <w:t>：包括报装流程（报装申请、方案设计、合同签订、施工管理等）、一户一表管理（改造计划、改造实施、用户转换等）。</w:t>
      </w:r>
    </w:p>
    <w:p w14:paraId="243A022F">
      <w:pPr>
        <w:numPr>
          <w:ilvl w:val="0"/>
          <w:numId w:val="1"/>
        </w:numPr>
        <w:spacing w:before="0" w:beforeAutospacing="1" w:after="0" w:afterAutospacing="1"/>
        <w:ind w:left="720" w:firstLine="0"/>
      </w:pPr>
      <w:r>
        <w:rPr>
          <w:b/>
        </w:rPr>
        <w:t>统计分析</w:t>
      </w:r>
      <w:r>
        <w:t>：包含报表查询（标准报表、自定义报表、报表导出打印等）、欠费查询（欠费情况统计、欠费用户明细、欠费分析等）、缴费记录（缴费情况统计、缴费明细查询、缴费趋势分析等）、用水分析（用水量统计、用水趋势分析、异常用水分析等）。</w:t>
      </w:r>
    </w:p>
    <w:p w14:paraId="384BDD7C">
      <w:pPr>
        <w:numPr>
          <w:ilvl w:val="0"/>
          <w:numId w:val="1"/>
        </w:numPr>
        <w:spacing w:before="0" w:beforeAutospacing="1" w:after="0" w:afterAutospacing="1"/>
        <w:ind w:left="720" w:firstLine="0"/>
      </w:pPr>
      <w:r>
        <w:rPr>
          <w:b/>
        </w:rPr>
        <w:t>工程管理</w:t>
      </w:r>
      <w:r>
        <w:t>：涵盖工程申请（工程立项、材料提交、前期勘察等）、工程施工（施工计划、施工派工、施工记录等）、工程验收（验收申请、验收检查、验收记录等）、工程查询（工程进度查询、工程资料查询、工程统计等）。</w:t>
      </w:r>
    </w:p>
    <w:p w14:paraId="135B4ED9">
      <w:pPr>
        <w:numPr>
          <w:ilvl w:val="0"/>
          <w:numId w:val="1"/>
        </w:numPr>
        <w:spacing w:before="0" w:beforeAutospacing="1" w:after="0" w:afterAutospacing="1"/>
        <w:ind w:left="720" w:firstLine="0"/>
      </w:pPr>
      <w:r>
        <w:rPr>
          <w:b/>
        </w:rPr>
        <w:t>抄表APP</w:t>
      </w:r>
      <w:r>
        <w:t>：有首页功能（首页展示、个人信息、快捷查询等）、抄表功能（抄表任务、NFC抄表、扫码抄表、AI录入等）、工单管理（问题上报、问题回填、代办工单、稽查工单等）。</w:t>
      </w:r>
    </w:p>
    <w:p w14:paraId="0DCA5121">
      <w:pPr>
        <w:numPr>
          <w:ilvl w:val="0"/>
          <w:numId w:val="1"/>
        </w:numPr>
        <w:spacing w:before="0" w:beforeAutospacing="1" w:after="0" w:afterAutospacing="1"/>
        <w:ind w:left="720" w:firstLine="0"/>
      </w:pPr>
      <w:r>
        <w:rPr>
          <w:b/>
        </w:rPr>
        <w:t>接口服务</w:t>
      </w:r>
      <w:r>
        <w:t>：涉及API市场（API展示、API使用说明、API测试等）、API管理（API申请、API调度看板、接口服务配置管理等）、接口权限管理（授权管理、白名单管理、安全策略等）、系统对外接口（查询接口、业务处理接口、状态同步接口等）。</w:t>
      </w:r>
    </w:p>
    <w:p w14:paraId="7B0241AF">
      <w:pPr>
        <w:numPr>
          <w:ilvl w:val="0"/>
          <w:numId w:val="1"/>
        </w:numPr>
        <w:spacing w:before="0" w:beforeAutospacing="1" w:after="100" w:afterAutospacing="1"/>
        <w:ind w:left="720" w:firstLine="0"/>
      </w:pPr>
      <w:r>
        <w:rPr>
          <w:b/>
        </w:rPr>
        <w:t>系统配置</w:t>
      </w:r>
      <w:r>
        <w:t>：包含水表参数（水表厂家、水表型号、水表量程等）、地址参数（行政区划、地址编码、地址库等）、价格体系（用水性质、水价标准、阶梯水价等）、基本配置（系统参数、业务规则、打印模板等）、催缴管理（催缴计划、催缴任务、催缴执行等）、用户权限（菜单权限、功能权限、数据权限等）、定时任务（任务配置、任务监控、任务日志等）。</w:t>
      </w:r>
    </w:p>
    <w:p w14:paraId="35E3B9FF"/>
    <w:p w14:paraId="6532D2A0">
      <w:pPr>
        <w:pStyle w:val="4"/>
        <w:spacing w:after="260"/>
        <w:rPr>
          <w:rFonts w:ascii="Calibri" w:hAnsi="Calibri" w:eastAsia="SimSun" w:cs="Times New Roman"/>
          <w:kern w:val="2"/>
          <w:sz w:val="21"/>
          <w:szCs w:val="24"/>
          <w:lang w:bidi="ar-SA"/>
        </w:rPr>
      </w:pPr>
      <w:r>
        <w:t>2.4 技术选型</w:t>
      </w:r>
      <w:r>
        <w:br w:type="textWrapping"/>
      </w:r>
      <w:r>
        <w:rPr>
          <w:rFonts w:ascii="Calibri" w:hAnsi="Calibri" w:eastAsia="SimSun" w:cs="Times New Roman"/>
          <w:kern w:val="2"/>
          <w:sz w:val="21"/>
          <w:szCs w:val="24"/>
          <w:lang w:bidi="ar-SA"/>
        </w:rPr>
        <w:t>本系统采用B/S与M/S相结合的架构模式，具体技术选型如下：</w:t>
      </w:r>
    </w:p>
    <w:p w14:paraId="4F361126">
      <w:pPr>
        <w:pStyle w:val="5"/>
        <w:keepNext/>
        <w:keepLines/>
        <w:widowControl w:val="0"/>
        <w:bidi w:val="0"/>
        <w:spacing w:before="280" w:beforeLines="0" w:beforeAutospacing="0" w:after="290" w:afterLines="0" w:afterAutospacing="0" w:line="372" w:lineRule="auto"/>
        <w:jc w:val="both"/>
        <w:outlineLvl w:val="3"/>
        <w:rPr>
          <w:rFonts w:ascii="Arial" w:hAnsi="Arial" w:eastAsia="SimHei" w:cs="Times New Roman"/>
          <w:b/>
          <w:kern w:val="2"/>
          <w:sz w:val="28"/>
          <w:szCs w:val="24"/>
          <w:lang w:bidi="ar-SA"/>
        </w:rPr>
      </w:pPr>
      <w:r>
        <w:rPr>
          <w:rFonts w:ascii="Arial" w:hAnsi="Arial" w:eastAsia="SimHei" w:cs="Times New Roman"/>
          <w:b/>
          <w:kern w:val="2"/>
          <w:sz w:val="28"/>
          <w:szCs w:val="24"/>
          <w:lang w:bidi="ar-SA"/>
        </w:rPr>
        <w:t>2.</w:t>
      </w:r>
      <w:r>
        <w:rPr>
          <w:rFonts w:hint="eastAsia" w:ascii="Arial" w:hAnsi="Arial" w:eastAsia="SimHei" w:cs="Times New Roman"/>
          <w:b/>
          <w:kern w:val="2"/>
          <w:sz w:val="28"/>
          <w:szCs w:val="24"/>
          <w:lang w:val="en-US" w:eastAsia="zh-CN" w:bidi="ar-SA"/>
        </w:rPr>
        <w:t>4.1</w:t>
      </w:r>
      <w:r>
        <w:rPr>
          <w:rFonts w:ascii="Arial" w:hAnsi="Arial" w:eastAsia="SimHei" w:cs="Times New Roman"/>
          <w:b/>
          <w:kern w:val="2"/>
          <w:sz w:val="28"/>
          <w:szCs w:val="24"/>
          <w:lang w:bidi="ar-SA"/>
        </w:rPr>
        <w:t xml:space="preserve"> 服务端</w:t>
      </w:r>
    </w:p>
    <w:p w14:paraId="2069D3E3">
      <w:pPr>
        <w:widowControl w:val="0"/>
        <w:numPr>
          <w:ilvl w:val="0"/>
          <w:numId w:val="2"/>
        </w:numPr>
        <w:bidi w:val="0"/>
        <w:spacing w:before="0" w:beforeAutospacing="1" w:after="0" w:afterAutospacing="1"/>
        <w:ind w:left="720" w:firstLine="0"/>
        <w:jc w:val="both"/>
        <w:rPr>
          <w:rFonts w:ascii="Calibri" w:hAnsi="Calibri" w:eastAsia="SimSun" w:cs="Times New Roman"/>
          <w:b/>
          <w:kern w:val="2"/>
          <w:sz w:val="21"/>
          <w:szCs w:val="24"/>
          <w:lang w:bidi="ar-SA"/>
        </w:rPr>
      </w:pPr>
      <w:r>
        <w:rPr>
          <w:rFonts w:ascii="Calibri" w:hAnsi="Calibri" w:eastAsia="SimSun" w:cs="Times New Roman"/>
          <w:b/>
          <w:kern w:val="2"/>
          <w:sz w:val="21"/>
          <w:szCs w:val="24"/>
          <w:lang w:bidi="ar-SA"/>
        </w:rPr>
        <w:t>操作系统：选用国产Linux操作系统</w:t>
      </w:r>
    </w:p>
    <w:p w14:paraId="3CC5CCBC">
      <w:pPr>
        <w:widowControl w:val="0"/>
        <w:numPr>
          <w:ilvl w:val="0"/>
          <w:numId w:val="2"/>
        </w:numPr>
        <w:bidi w:val="0"/>
        <w:spacing w:before="0" w:beforeAutospacing="1" w:after="0" w:afterAutospacing="1"/>
        <w:ind w:left="720" w:firstLine="0"/>
        <w:jc w:val="both"/>
        <w:rPr>
          <w:rFonts w:ascii="Calibri" w:hAnsi="Calibri" w:eastAsia="SimSun" w:cs="Times New Roman"/>
          <w:b/>
          <w:kern w:val="2"/>
          <w:sz w:val="21"/>
          <w:szCs w:val="24"/>
          <w:lang w:bidi="ar-SA"/>
        </w:rPr>
      </w:pPr>
      <w:r>
        <w:rPr>
          <w:rFonts w:ascii="Calibri" w:hAnsi="Calibri" w:eastAsia="SimSun" w:cs="Times New Roman"/>
          <w:b/>
          <w:kern w:val="2"/>
          <w:sz w:val="21"/>
          <w:szCs w:val="24"/>
          <w:lang w:bidi="ar-SA"/>
        </w:rPr>
        <w:t>数据库：采用MySQL/MariaDB数据库，同时支持国产OpenGauss数据库</w:t>
      </w:r>
    </w:p>
    <w:p w14:paraId="7E8FF6F2">
      <w:pPr>
        <w:widowControl w:val="0"/>
        <w:numPr>
          <w:ilvl w:val="0"/>
          <w:numId w:val="2"/>
        </w:numPr>
        <w:bidi w:val="0"/>
        <w:spacing w:before="0" w:beforeAutospacing="1" w:after="0" w:afterAutospacing="1"/>
        <w:ind w:left="720" w:firstLine="0"/>
        <w:jc w:val="both"/>
        <w:rPr>
          <w:rFonts w:ascii="Calibri" w:hAnsi="Calibri" w:eastAsia="SimSun" w:cs="Times New Roman"/>
          <w:b/>
          <w:kern w:val="2"/>
          <w:sz w:val="21"/>
          <w:szCs w:val="24"/>
          <w:lang w:bidi="ar-SA"/>
        </w:rPr>
      </w:pPr>
      <w:r>
        <w:rPr>
          <w:rFonts w:ascii="Calibri" w:hAnsi="Calibri" w:eastAsia="SimSun" w:cs="Times New Roman"/>
          <w:b/>
          <w:kern w:val="2"/>
          <w:sz w:val="21"/>
          <w:szCs w:val="24"/>
          <w:lang w:bidi="ar-SA"/>
        </w:rPr>
        <w:t>应用框架：基于RuoYi - Vue - Pro框架进行定制开发</w:t>
      </w:r>
    </w:p>
    <w:p w14:paraId="40B0B02C">
      <w:pPr>
        <w:widowControl w:val="0"/>
        <w:numPr>
          <w:ilvl w:val="0"/>
          <w:numId w:val="2"/>
        </w:numPr>
        <w:bidi w:val="0"/>
        <w:spacing w:before="0" w:beforeAutospacing="1" w:after="0" w:afterAutospacing="1"/>
        <w:ind w:left="720" w:firstLine="0"/>
        <w:jc w:val="both"/>
        <w:rPr>
          <w:rFonts w:ascii="Calibri" w:hAnsi="Calibri" w:eastAsia="SimSun" w:cs="Times New Roman"/>
          <w:b/>
          <w:kern w:val="2"/>
          <w:sz w:val="21"/>
          <w:szCs w:val="24"/>
          <w:lang w:bidi="ar-SA"/>
        </w:rPr>
      </w:pPr>
      <w:r>
        <w:rPr>
          <w:rFonts w:ascii="Calibri" w:hAnsi="Calibri" w:eastAsia="SimSun" w:cs="Times New Roman"/>
          <w:b/>
          <w:kern w:val="2"/>
          <w:sz w:val="21"/>
          <w:szCs w:val="24"/>
          <w:lang w:bidi="ar-SA"/>
        </w:rPr>
        <w:t>核心框架：采用Spring Boot 3.x，兼容JDK 17/21</w:t>
      </w:r>
    </w:p>
    <w:p w14:paraId="6F2B3DC0">
      <w:pPr>
        <w:widowControl w:val="0"/>
        <w:numPr>
          <w:ilvl w:val="0"/>
          <w:numId w:val="2"/>
        </w:numPr>
        <w:bidi w:val="0"/>
        <w:spacing w:before="0" w:beforeAutospacing="1" w:after="0" w:afterAutospacing="1"/>
        <w:ind w:left="720" w:firstLine="0"/>
        <w:jc w:val="both"/>
        <w:rPr>
          <w:rFonts w:ascii="Calibri" w:hAnsi="Calibri" w:eastAsia="SimSun" w:cs="Times New Roman"/>
          <w:b/>
          <w:kern w:val="2"/>
          <w:sz w:val="21"/>
          <w:szCs w:val="24"/>
          <w:lang w:bidi="ar-SA"/>
        </w:rPr>
      </w:pPr>
      <w:r>
        <w:rPr>
          <w:rFonts w:ascii="Calibri" w:hAnsi="Calibri" w:eastAsia="SimSun" w:cs="Times New Roman"/>
          <w:b/>
          <w:kern w:val="2"/>
          <w:sz w:val="21"/>
          <w:szCs w:val="24"/>
          <w:lang w:bidi="ar-SA"/>
        </w:rPr>
        <w:t>ORM框架：使用MyBatis Plus，即增强版的MyBatis</w:t>
      </w:r>
    </w:p>
    <w:p w14:paraId="723445E7">
      <w:pPr>
        <w:widowControl w:val="0"/>
        <w:numPr>
          <w:ilvl w:val="0"/>
          <w:numId w:val="2"/>
        </w:numPr>
        <w:bidi w:val="0"/>
        <w:spacing w:before="0" w:beforeAutospacing="1" w:after="0" w:afterAutospacing="1"/>
        <w:ind w:left="720" w:firstLine="0"/>
        <w:jc w:val="both"/>
        <w:rPr>
          <w:rFonts w:ascii="Calibri" w:hAnsi="Calibri" w:eastAsia="SimSun" w:cs="Times New Roman"/>
          <w:b/>
          <w:kern w:val="2"/>
          <w:sz w:val="21"/>
          <w:szCs w:val="24"/>
          <w:lang w:bidi="ar-SA"/>
        </w:rPr>
      </w:pPr>
      <w:r>
        <w:rPr>
          <w:rFonts w:ascii="Calibri" w:hAnsi="Calibri" w:eastAsia="SimSun" w:cs="Times New Roman"/>
          <w:b/>
          <w:kern w:val="2"/>
          <w:sz w:val="21"/>
          <w:szCs w:val="24"/>
          <w:lang w:bidi="ar-SA"/>
        </w:rPr>
        <w:t>权限框架：应用Spring Security，实现基于RBAC的权限管理</w:t>
      </w:r>
    </w:p>
    <w:p w14:paraId="22DAF9AB">
      <w:pPr>
        <w:widowControl w:val="0"/>
        <w:numPr>
          <w:ilvl w:val="0"/>
          <w:numId w:val="2"/>
        </w:numPr>
        <w:bidi w:val="0"/>
        <w:spacing w:before="0" w:beforeAutospacing="1" w:after="0" w:afterAutospacing="1"/>
        <w:ind w:left="720" w:firstLine="0"/>
        <w:jc w:val="both"/>
        <w:rPr>
          <w:rFonts w:ascii="Calibri" w:hAnsi="Calibri" w:eastAsia="SimSun" w:cs="Times New Roman"/>
          <w:b/>
          <w:kern w:val="2"/>
          <w:sz w:val="21"/>
          <w:szCs w:val="24"/>
          <w:lang w:bidi="ar-SA"/>
        </w:rPr>
      </w:pPr>
      <w:r>
        <w:rPr>
          <w:rFonts w:ascii="Calibri" w:hAnsi="Calibri" w:eastAsia="SimSun" w:cs="Times New Roman"/>
          <w:b/>
          <w:kern w:val="2"/>
          <w:sz w:val="21"/>
          <w:szCs w:val="24"/>
          <w:lang w:bidi="ar-SA"/>
        </w:rPr>
        <w:t>数据缓存：利用Redis与Redisson实现高性能缓存及分布式锁</w:t>
      </w:r>
    </w:p>
    <w:p w14:paraId="2401AD3E">
      <w:pPr>
        <w:widowControl w:val="0"/>
        <w:numPr>
          <w:ilvl w:val="0"/>
          <w:numId w:val="2"/>
        </w:numPr>
        <w:bidi w:val="0"/>
        <w:spacing w:before="0" w:beforeAutospacing="1" w:after="0" w:afterAutospacing="1"/>
        <w:ind w:left="720" w:firstLine="0"/>
        <w:jc w:val="both"/>
        <w:rPr>
          <w:rFonts w:ascii="Calibri" w:hAnsi="Calibri" w:eastAsia="SimSun" w:cs="Times New Roman"/>
          <w:b/>
          <w:kern w:val="2"/>
          <w:sz w:val="21"/>
          <w:szCs w:val="24"/>
          <w:lang w:bidi="ar-SA"/>
        </w:rPr>
      </w:pPr>
      <w:r>
        <w:rPr>
          <w:rFonts w:ascii="Calibri" w:hAnsi="Calibri" w:eastAsia="SimSun" w:cs="Times New Roman"/>
          <w:b/>
          <w:kern w:val="2"/>
          <w:sz w:val="21"/>
          <w:szCs w:val="24"/>
          <w:lang w:bidi="ar-SA"/>
        </w:rPr>
        <w:t>工作流引擎：采用Flowable，以实现灵活的工作流处理</w:t>
      </w:r>
    </w:p>
    <w:p w14:paraId="70ABD4AF">
      <w:pPr>
        <w:widowControl w:val="0"/>
        <w:numPr>
          <w:ilvl w:val="0"/>
          <w:numId w:val="2"/>
        </w:numPr>
        <w:bidi w:val="0"/>
        <w:spacing w:before="0" w:beforeAutospacing="1" w:after="0" w:afterAutospacing="1"/>
        <w:ind w:left="720" w:firstLine="0"/>
        <w:jc w:val="both"/>
        <w:rPr>
          <w:rFonts w:ascii="Calibri" w:hAnsi="Calibri" w:eastAsia="SimSun" w:cs="Times New Roman"/>
          <w:b/>
          <w:kern w:val="2"/>
          <w:sz w:val="21"/>
          <w:szCs w:val="24"/>
          <w:lang w:bidi="ar-SA"/>
        </w:rPr>
      </w:pPr>
      <w:r>
        <w:rPr>
          <w:rFonts w:ascii="Calibri" w:hAnsi="Calibri" w:eastAsia="SimSun" w:cs="Times New Roman"/>
          <w:b/>
          <w:kern w:val="2"/>
          <w:sz w:val="21"/>
          <w:szCs w:val="24"/>
          <w:lang w:bidi="ar-SA"/>
        </w:rPr>
        <w:t>任务调度：基于Quartz实现CRON任务调度</w:t>
      </w:r>
    </w:p>
    <w:p w14:paraId="6BF2D521">
      <w:pPr>
        <w:widowControl w:val="0"/>
        <w:numPr>
          <w:ilvl w:val="0"/>
          <w:numId w:val="2"/>
        </w:numPr>
        <w:bidi w:val="0"/>
        <w:spacing w:before="0" w:beforeAutospacing="1" w:after="0" w:afterAutospacing="1"/>
        <w:ind w:left="720" w:firstLine="0"/>
        <w:jc w:val="both"/>
        <w:rPr>
          <w:rFonts w:ascii="Calibri" w:hAnsi="Calibri" w:eastAsia="SimSun" w:cs="Times New Roman"/>
          <w:b/>
          <w:kern w:val="2"/>
          <w:sz w:val="21"/>
          <w:szCs w:val="24"/>
          <w:lang w:bidi="ar-SA"/>
        </w:rPr>
      </w:pPr>
      <w:r>
        <w:rPr>
          <w:rFonts w:ascii="Calibri" w:hAnsi="Calibri" w:eastAsia="SimSun" w:cs="Times New Roman"/>
          <w:b/>
          <w:kern w:val="2"/>
          <w:sz w:val="21"/>
          <w:szCs w:val="24"/>
          <w:lang w:bidi="ar-SA"/>
        </w:rPr>
        <w:t>服务监控：使用Spring Boot Admin与SkyWalking APM进行服务监控</w:t>
      </w:r>
    </w:p>
    <w:p w14:paraId="30EA93B8">
      <w:pPr>
        <w:widowControl w:val="0"/>
        <w:numPr>
          <w:ilvl w:val="0"/>
          <w:numId w:val="2"/>
        </w:numPr>
        <w:bidi w:val="0"/>
        <w:spacing w:before="0" w:beforeAutospacing="1" w:after="0" w:afterAutospacing="1"/>
        <w:ind w:left="720" w:firstLine="0"/>
        <w:jc w:val="both"/>
        <w:rPr>
          <w:rFonts w:ascii="Calibri" w:hAnsi="Calibri" w:eastAsia="SimSun" w:cs="Times New Roman"/>
          <w:b/>
          <w:kern w:val="2"/>
          <w:sz w:val="21"/>
          <w:szCs w:val="24"/>
          <w:lang w:bidi="ar-SA"/>
        </w:rPr>
      </w:pPr>
      <w:r>
        <w:rPr>
          <w:rFonts w:ascii="Calibri" w:hAnsi="Calibri" w:eastAsia="SimSun" w:cs="Times New Roman"/>
          <w:b/>
          <w:kern w:val="2"/>
          <w:sz w:val="21"/>
          <w:szCs w:val="24"/>
          <w:lang w:bidi="ar-SA"/>
        </w:rPr>
        <w:t>消息队列：构建基于Redis的轻量级消息队列</w:t>
      </w:r>
    </w:p>
    <w:p w14:paraId="65E7189D">
      <w:pPr>
        <w:widowControl w:val="0"/>
        <w:numPr>
          <w:ilvl w:val="0"/>
          <w:numId w:val="2"/>
        </w:numPr>
        <w:bidi w:val="0"/>
        <w:spacing w:before="0" w:beforeAutospacing="1" w:after="0" w:afterAutospacing="1"/>
        <w:ind w:left="720" w:firstLine="0"/>
        <w:jc w:val="both"/>
        <w:rPr>
          <w:rFonts w:ascii="Calibri" w:hAnsi="Calibri" w:eastAsia="SimSun" w:cs="Times New Roman"/>
          <w:b/>
          <w:kern w:val="2"/>
          <w:sz w:val="21"/>
          <w:szCs w:val="24"/>
          <w:lang w:bidi="ar-SA"/>
        </w:rPr>
      </w:pPr>
      <w:r>
        <w:rPr>
          <w:rFonts w:ascii="Calibri" w:hAnsi="Calibri" w:eastAsia="SimSun" w:cs="Times New Roman"/>
          <w:b/>
          <w:kern w:val="2"/>
          <w:sz w:val="21"/>
          <w:szCs w:val="24"/>
          <w:lang w:bidi="ar-SA"/>
        </w:rPr>
        <w:t>文档生成：利用Knife4j，基于Swagger生成API文档</w:t>
      </w:r>
    </w:p>
    <w:p w14:paraId="29B15DE0">
      <w:pPr>
        <w:widowControl w:val="0"/>
        <w:numPr>
          <w:ilvl w:val="0"/>
          <w:numId w:val="2"/>
        </w:numPr>
        <w:bidi w:val="0"/>
        <w:spacing w:before="0" w:beforeAutospacing="1" w:after="0" w:afterAutospacing="1"/>
        <w:ind w:left="720" w:firstLine="0"/>
        <w:jc w:val="both"/>
        <w:rPr>
          <w:rFonts w:ascii="Calibri" w:hAnsi="Calibri" w:eastAsia="SimSun" w:cs="Times New Roman"/>
          <w:b/>
          <w:kern w:val="2"/>
          <w:sz w:val="21"/>
          <w:szCs w:val="24"/>
          <w:lang w:bidi="ar-SA"/>
        </w:rPr>
      </w:pPr>
      <w:r>
        <w:rPr>
          <w:rFonts w:ascii="Calibri" w:hAnsi="Calibri" w:eastAsia="SimSun" w:cs="Times New Roman"/>
          <w:b/>
          <w:kern w:val="2"/>
          <w:sz w:val="21"/>
          <w:szCs w:val="24"/>
          <w:lang w:bidi="ar-SA"/>
        </w:rPr>
        <w:t>代码生成：实现自动化CRUD与表单代码生成器</w:t>
      </w:r>
    </w:p>
    <w:p w14:paraId="269DBFD1">
      <w:pPr>
        <w:widowControl w:val="0"/>
        <w:numPr>
          <w:ilvl w:val="0"/>
          <w:numId w:val="2"/>
        </w:numPr>
        <w:bidi w:val="0"/>
        <w:spacing w:before="0" w:beforeAutospacing="1" w:after="0" w:afterAutospacing="1"/>
        <w:ind w:left="720" w:firstLine="0"/>
        <w:jc w:val="both"/>
        <w:rPr>
          <w:rFonts w:ascii="Calibri" w:hAnsi="Calibri" w:eastAsia="SimSun" w:cs="Times New Roman"/>
          <w:b/>
          <w:kern w:val="2"/>
          <w:sz w:val="21"/>
          <w:szCs w:val="24"/>
          <w:lang w:bidi="ar-SA"/>
        </w:rPr>
      </w:pPr>
      <w:r>
        <w:rPr>
          <w:rFonts w:ascii="Calibri" w:hAnsi="Calibri" w:eastAsia="SimSun" w:cs="Times New Roman"/>
          <w:b/>
          <w:kern w:val="2"/>
          <w:sz w:val="21"/>
          <w:szCs w:val="24"/>
          <w:lang w:bidi="ar-SA"/>
        </w:rPr>
        <w:t>多租户：设计基于字段隔离的SaaS多租户架构</w:t>
      </w:r>
    </w:p>
    <w:p w14:paraId="4F9B9972">
      <w:pPr>
        <w:pStyle w:val="5"/>
        <w:keepNext/>
        <w:keepLines/>
        <w:widowControl w:val="0"/>
        <w:bidi w:val="0"/>
        <w:spacing w:before="280" w:beforeLines="0" w:beforeAutospacing="0" w:after="290" w:afterLines="0" w:afterAutospacing="0" w:line="372" w:lineRule="auto"/>
        <w:jc w:val="both"/>
        <w:outlineLvl w:val="3"/>
        <w:rPr>
          <w:rFonts w:ascii="Arial" w:hAnsi="Arial" w:eastAsia="SimHei" w:cs="Times New Roman"/>
          <w:b/>
          <w:kern w:val="2"/>
          <w:sz w:val="28"/>
          <w:szCs w:val="24"/>
          <w:lang w:bidi="ar-SA"/>
        </w:rPr>
      </w:pPr>
      <w:r>
        <w:rPr>
          <w:rFonts w:ascii="Arial" w:hAnsi="Arial" w:eastAsia="SimHei" w:cs="Times New Roman"/>
          <w:b/>
          <w:kern w:val="2"/>
          <w:sz w:val="28"/>
          <w:szCs w:val="24"/>
          <w:lang w:bidi="ar-SA"/>
        </w:rPr>
        <w:t>2.</w:t>
      </w:r>
      <w:r>
        <w:rPr>
          <w:rFonts w:hint="eastAsia" w:ascii="Arial" w:hAnsi="Arial" w:eastAsia="SimHei" w:cs="Times New Roman"/>
          <w:b/>
          <w:kern w:val="2"/>
          <w:sz w:val="28"/>
          <w:szCs w:val="24"/>
          <w:lang w:val="en-US" w:eastAsia="zh-CN" w:bidi="ar-SA"/>
        </w:rPr>
        <w:t>4.2</w:t>
      </w:r>
      <w:r>
        <w:rPr>
          <w:rFonts w:ascii="Arial" w:hAnsi="Arial" w:eastAsia="SimHei" w:cs="Times New Roman"/>
          <w:b/>
          <w:kern w:val="2"/>
          <w:sz w:val="28"/>
          <w:szCs w:val="24"/>
          <w:lang w:bidi="ar-SA"/>
        </w:rPr>
        <w:t xml:space="preserve"> 客户端</w:t>
      </w:r>
    </w:p>
    <w:p w14:paraId="7A0099B7">
      <w:pPr>
        <w:widowControl w:val="0"/>
        <w:bidi w:val="0"/>
        <w:jc w:val="both"/>
        <w:rPr>
          <w:rFonts w:ascii="Calibri" w:hAnsi="Calibri" w:eastAsia="SimSun" w:cs="Times New Roman"/>
          <w:b/>
          <w:kern w:val="2"/>
          <w:sz w:val="21"/>
          <w:szCs w:val="24"/>
          <w:lang w:bidi="ar-SA"/>
        </w:rPr>
      </w:pPr>
      <w:r>
        <w:rPr>
          <w:rFonts w:ascii="Calibri" w:hAnsi="Calibri" w:eastAsia="SimSun" w:cs="Times New Roman"/>
          <w:b/>
          <w:kern w:val="2"/>
          <w:sz w:val="21"/>
          <w:szCs w:val="24"/>
          <w:lang w:bidi="ar-SA"/>
        </w:rPr>
        <w:t>前端框架：基于yudao - ui - admin - vue3框架进行定制开发</w:t>
      </w:r>
    </w:p>
    <w:p w14:paraId="15B2385F">
      <w:pPr>
        <w:widowControl w:val="0"/>
        <w:numPr>
          <w:ilvl w:val="0"/>
          <w:numId w:val="3"/>
        </w:numPr>
        <w:bidi w:val="0"/>
        <w:spacing w:before="0" w:beforeAutospacing="1" w:after="0" w:afterAutospacing="1"/>
        <w:ind w:left="720" w:firstLine="0"/>
        <w:jc w:val="both"/>
        <w:rPr>
          <w:rFonts w:ascii="Calibri" w:hAnsi="Calibri" w:eastAsia="SimSun" w:cs="Times New Roman"/>
          <w:b/>
          <w:kern w:val="2"/>
          <w:sz w:val="21"/>
          <w:szCs w:val="24"/>
          <w:lang w:bidi="ar-SA"/>
        </w:rPr>
      </w:pPr>
      <w:r>
        <w:rPr>
          <w:rFonts w:ascii="Calibri" w:hAnsi="Calibri" w:eastAsia="SimSun" w:cs="Times New Roman"/>
          <w:b/>
          <w:kern w:val="2"/>
          <w:sz w:val="21"/>
          <w:szCs w:val="24"/>
          <w:lang w:bidi="ar-SA"/>
        </w:rPr>
        <w:t>核心框架：采用Vue 3.x结合TypeScript</w:t>
      </w:r>
    </w:p>
    <w:p w14:paraId="68AB58EA">
      <w:pPr>
        <w:widowControl w:val="0"/>
        <w:numPr>
          <w:ilvl w:val="0"/>
          <w:numId w:val="3"/>
        </w:numPr>
        <w:bidi w:val="0"/>
        <w:spacing w:before="0" w:beforeAutospacing="1" w:after="0" w:afterAutospacing="1"/>
        <w:ind w:left="720" w:firstLine="0"/>
        <w:jc w:val="both"/>
        <w:rPr>
          <w:rFonts w:ascii="Calibri" w:hAnsi="Calibri" w:eastAsia="SimSun" w:cs="Times New Roman"/>
          <w:b/>
          <w:kern w:val="2"/>
          <w:sz w:val="21"/>
          <w:szCs w:val="24"/>
          <w:lang w:bidi="ar-SA"/>
        </w:rPr>
      </w:pPr>
      <w:r>
        <w:rPr>
          <w:rFonts w:ascii="Calibri" w:hAnsi="Calibri" w:eastAsia="SimSun" w:cs="Times New Roman"/>
          <w:b/>
          <w:kern w:val="2"/>
          <w:sz w:val="21"/>
          <w:szCs w:val="24"/>
          <w:lang w:bidi="ar-SA"/>
        </w:rPr>
        <w:t>组件库：使用Element Plus，提供现代化UI组件</w:t>
      </w:r>
    </w:p>
    <w:p w14:paraId="2906BD83">
      <w:pPr>
        <w:widowControl w:val="0"/>
        <w:numPr>
          <w:ilvl w:val="0"/>
          <w:numId w:val="3"/>
        </w:numPr>
        <w:bidi w:val="0"/>
        <w:spacing w:before="0" w:beforeAutospacing="1" w:after="0" w:afterAutospacing="1"/>
        <w:ind w:left="720" w:firstLine="0"/>
        <w:jc w:val="both"/>
        <w:rPr>
          <w:rFonts w:ascii="Calibri" w:hAnsi="Calibri" w:eastAsia="SimSun" w:cs="Times New Roman"/>
          <w:b/>
          <w:kern w:val="2"/>
          <w:sz w:val="21"/>
          <w:szCs w:val="24"/>
          <w:lang w:bidi="ar-SA"/>
        </w:rPr>
      </w:pPr>
      <w:r>
        <w:rPr>
          <w:rFonts w:ascii="Calibri" w:hAnsi="Calibri" w:eastAsia="SimSun" w:cs="Times New Roman"/>
          <w:b/>
          <w:kern w:val="2"/>
          <w:sz w:val="21"/>
          <w:szCs w:val="24"/>
          <w:lang w:bidi="ar-SA"/>
        </w:rPr>
        <w:t>状态管理：采用Pinia，作为新一代Vue状态管理库</w:t>
      </w:r>
    </w:p>
    <w:p w14:paraId="4067012A">
      <w:pPr>
        <w:widowControl w:val="0"/>
        <w:numPr>
          <w:ilvl w:val="0"/>
          <w:numId w:val="3"/>
        </w:numPr>
        <w:bidi w:val="0"/>
        <w:spacing w:before="0" w:beforeAutospacing="1" w:after="0" w:afterAutospacing="1"/>
        <w:ind w:left="720" w:firstLine="0"/>
        <w:jc w:val="both"/>
        <w:rPr>
          <w:rFonts w:ascii="Calibri" w:hAnsi="Calibri" w:eastAsia="SimSun" w:cs="Times New Roman"/>
          <w:b/>
          <w:kern w:val="2"/>
          <w:sz w:val="21"/>
          <w:szCs w:val="24"/>
          <w:lang w:bidi="ar-SA"/>
        </w:rPr>
      </w:pPr>
      <w:r>
        <w:rPr>
          <w:rFonts w:ascii="Calibri" w:hAnsi="Calibri" w:eastAsia="SimSun" w:cs="Times New Roman"/>
          <w:b/>
          <w:kern w:val="2"/>
          <w:sz w:val="21"/>
          <w:szCs w:val="24"/>
          <w:lang w:bidi="ar-SA"/>
        </w:rPr>
        <w:t>路由管理：使用Vue Router进行路由管理</w:t>
      </w:r>
    </w:p>
    <w:p w14:paraId="0D343D59">
      <w:pPr>
        <w:widowControl w:val="0"/>
        <w:numPr>
          <w:ilvl w:val="0"/>
          <w:numId w:val="3"/>
        </w:numPr>
        <w:bidi w:val="0"/>
        <w:spacing w:before="0" w:beforeAutospacing="1" w:after="0" w:afterAutospacing="1"/>
        <w:ind w:left="720" w:firstLine="0"/>
        <w:jc w:val="both"/>
        <w:rPr>
          <w:rFonts w:ascii="Calibri" w:hAnsi="Calibri" w:eastAsia="SimSun" w:cs="Times New Roman"/>
          <w:b/>
          <w:kern w:val="2"/>
          <w:sz w:val="21"/>
          <w:szCs w:val="24"/>
          <w:lang w:bidi="ar-SA"/>
        </w:rPr>
      </w:pPr>
      <w:r>
        <w:rPr>
          <w:rFonts w:ascii="Calibri" w:hAnsi="Calibri" w:eastAsia="SimSun" w:cs="Times New Roman"/>
          <w:b/>
          <w:kern w:val="2"/>
          <w:sz w:val="21"/>
          <w:szCs w:val="24"/>
          <w:lang w:bidi="ar-SA"/>
        </w:rPr>
        <w:t>HTTP工具：应用Axios进行请求拦截与统一处理</w:t>
      </w:r>
    </w:p>
    <w:p w14:paraId="2C760FAB">
      <w:pPr>
        <w:widowControl w:val="0"/>
        <w:numPr>
          <w:ilvl w:val="0"/>
          <w:numId w:val="3"/>
        </w:numPr>
        <w:bidi w:val="0"/>
        <w:spacing w:before="0" w:beforeAutospacing="1" w:after="0" w:afterAutospacing="1"/>
        <w:ind w:left="720" w:firstLine="0"/>
        <w:jc w:val="both"/>
        <w:rPr>
          <w:rFonts w:ascii="Calibri" w:hAnsi="Calibri" w:eastAsia="SimSun" w:cs="Times New Roman"/>
          <w:b/>
          <w:kern w:val="2"/>
          <w:sz w:val="21"/>
          <w:szCs w:val="24"/>
          <w:lang w:bidi="ar-SA"/>
        </w:rPr>
      </w:pPr>
      <w:r>
        <w:rPr>
          <w:rFonts w:ascii="Calibri" w:hAnsi="Calibri" w:eastAsia="SimSun" w:cs="Times New Roman"/>
          <w:b/>
          <w:kern w:val="2"/>
          <w:sz w:val="21"/>
          <w:szCs w:val="24"/>
          <w:lang w:bidi="ar-SA"/>
        </w:rPr>
        <w:t>CSS框架：采用Tailwind CSS / UnoCSS，实现原子化CSS</w:t>
      </w:r>
    </w:p>
    <w:p w14:paraId="2880FFBB">
      <w:pPr>
        <w:widowControl w:val="0"/>
        <w:numPr>
          <w:ilvl w:val="0"/>
          <w:numId w:val="3"/>
        </w:numPr>
        <w:bidi w:val="0"/>
        <w:spacing w:before="0" w:beforeAutospacing="1" w:after="0" w:afterAutospacing="1"/>
        <w:ind w:left="720" w:firstLine="0"/>
        <w:jc w:val="both"/>
        <w:rPr>
          <w:rFonts w:ascii="Calibri" w:hAnsi="Calibri" w:eastAsia="SimSun" w:cs="Times New Roman"/>
          <w:b/>
          <w:kern w:val="2"/>
          <w:sz w:val="21"/>
          <w:szCs w:val="24"/>
          <w:lang w:bidi="ar-SA"/>
        </w:rPr>
      </w:pPr>
      <w:r>
        <w:rPr>
          <w:rFonts w:ascii="Calibri" w:hAnsi="Calibri" w:eastAsia="SimSun" w:cs="Times New Roman"/>
          <w:b/>
          <w:kern w:val="2"/>
          <w:sz w:val="21"/>
          <w:szCs w:val="24"/>
          <w:lang w:bidi="ar-SA"/>
        </w:rPr>
        <w:t>图表组件：使用ECharts，提供强大的可视化图表库</w:t>
      </w:r>
    </w:p>
    <w:p w14:paraId="44F1E083">
      <w:pPr>
        <w:widowControl w:val="0"/>
        <w:numPr>
          <w:ilvl w:val="0"/>
          <w:numId w:val="3"/>
        </w:numPr>
        <w:bidi w:val="0"/>
        <w:spacing w:before="0" w:beforeAutospacing="1" w:after="0" w:afterAutospacing="1"/>
        <w:ind w:left="720" w:firstLine="0"/>
        <w:jc w:val="both"/>
        <w:rPr>
          <w:rFonts w:ascii="Calibri" w:hAnsi="Calibri" w:eastAsia="SimSun" w:cs="Times New Roman"/>
          <w:b/>
          <w:kern w:val="2"/>
          <w:sz w:val="21"/>
          <w:szCs w:val="24"/>
          <w:lang w:bidi="ar-SA"/>
        </w:rPr>
      </w:pPr>
      <w:r>
        <w:rPr>
          <w:rFonts w:ascii="Calibri" w:hAnsi="Calibri" w:eastAsia="SimSun" w:cs="Times New Roman"/>
          <w:b/>
          <w:kern w:val="2"/>
          <w:sz w:val="21"/>
          <w:szCs w:val="24"/>
          <w:lang w:bidi="ar-SA"/>
        </w:rPr>
        <w:t>富文本编辑器：选用WangEditor</w:t>
      </w:r>
    </w:p>
    <w:p w14:paraId="4764980A">
      <w:pPr>
        <w:widowControl w:val="0"/>
        <w:numPr>
          <w:ilvl w:val="0"/>
          <w:numId w:val="3"/>
        </w:numPr>
        <w:bidi w:val="0"/>
        <w:spacing w:before="0" w:beforeAutospacing="1" w:after="0" w:afterAutospacing="1"/>
        <w:ind w:left="720" w:firstLine="0"/>
        <w:jc w:val="both"/>
        <w:rPr>
          <w:rFonts w:ascii="Calibri" w:hAnsi="Calibri" w:eastAsia="SimSun" w:cs="Times New Roman"/>
          <w:b/>
          <w:kern w:val="2"/>
          <w:sz w:val="21"/>
          <w:szCs w:val="24"/>
          <w:lang w:bidi="ar-SA"/>
        </w:rPr>
      </w:pPr>
      <w:r>
        <w:rPr>
          <w:rFonts w:ascii="Calibri" w:hAnsi="Calibri" w:eastAsia="SimSun" w:cs="Times New Roman"/>
          <w:b/>
          <w:kern w:val="2"/>
          <w:sz w:val="21"/>
          <w:szCs w:val="24"/>
          <w:lang w:bidi="ar-SA"/>
        </w:rPr>
        <w:t>文件上传：基于Element Plus的上传组件</w:t>
      </w:r>
    </w:p>
    <w:p w14:paraId="4DA4B762">
      <w:pPr>
        <w:widowControl w:val="0"/>
        <w:numPr>
          <w:ilvl w:val="0"/>
          <w:numId w:val="3"/>
        </w:numPr>
        <w:bidi w:val="0"/>
        <w:spacing w:before="0" w:beforeAutospacing="1" w:after="0" w:afterAutospacing="1"/>
        <w:ind w:left="720" w:firstLine="0"/>
        <w:jc w:val="both"/>
        <w:rPr>
          <w:rFonts w:ascii="Calibri" w:hAnsi="Calibri" w:eastAsia="SimSun" w:cs="Times New Roman"/>
          <w:b/>
          <w:kern w:val="2"/>
          <w:sz w:val="21"/>
          <w:szCs w:val="24"/>
          <w:lang w:bidi="ar-SA"/>
        </w:rPr>
      </w:pPr>
      <w:r>
        <w:rPr>
          <w:rFonts w:ascii="Calibri" w:hAnsi="Calibri" w:eastAsia="SimSun" w:cs="Times New Roman"/>
          <w:b/>
          <w:kern w:val="2"/>
          <w:sz w:val="21"/>
          <w:szCs w:val="24"/>
          <w:lang w:bidi="ar-SA"/>
        </w:rPr>
        <w:t>权限控制：实现细粒度的按钮级权限控制</w:t>
      </w:r>
    </w:p>
    <w:p w14:paraId="08EE2FEC">
      <w:pPr>
        <w:widowControl w:val="0"/>
        <w:numPr>
          <w:ilvl w:val="0"/>
          <w:numId w:val="3"/>
        </w:numPr>
        <w:bidi w:val="0"/>
        <w:spacing w:before="0" w:beforeAutospacing="1" w:after="0" w:afterAutospacing="1"/>
        <w:ind w:left="720" w:firstLine="0"/>
        <w:jc w:val="both"/>
        <w:rPr>
          <w:rFonts w:ascii="Calibri" w:hAnsi="Calibri" w:eastAsia="SimSun" w:cs="Times New Roman"/>
          <w:b/>
          <w:kern w:val="2"/>
          <w:sz w:val="21"/>
          <w:szCs w:val="24"/>
          <w:lang w:bidi="ar-SA"/>
        </w:rPr>
      </w:pPr>
      <w:r>
        <w:rPr>
          <w:rFonts w:ascii="Calibri" w:hAnsi="Calibri" w:eastAsia="SimSun" w:cs="Times New Roman"/>
          <w:b/>
          <w:kern w:val="2"/>
          <w:sz w:val="21"/>
          <w:szCs w:val="24"/>
          <w:lang w:bidi="ar-SA"/>
        </w:rPr>
        <w:t>动态表格：支持拖拽、排序、筛选功能</w:t>
      </w:r>
    </w:p>
    <w:p w14:paraId="07E60105">
      <w:pPr>
        <w:widowControl w:val="0"/>
        <w:numPr>
          <w:ilvl w:val="0"/>
          <w:numId w:val="3"/>
        </w:numPr>
        <w:bidi w:val="0"/>
        <w:spacing w:before="0" w:beforeAutospacing="1" w:after="0" w:afterAutospacing="1"/>
        <w:ind w:left="720" w:firstLine="0"/>
        <w:jc w:val="both"/>
        <w:rPr>
          <w:rFonts w:ascii="Calibri" w:hAnsi="Calibri" w:eastAsia="SimSun" w:cs="Times New Roman"/>
          <w:b/>
          <w:kern w:val="2"/>
          <w:sz w:val="21"/>
          <w:szCs w:val="24"/>
          <w:lang w:bidi="ar-SA"/>
        </w:rPr>
      </w:pPr>
      <w:r>
        <w:rPr>
          <w:rFonts w:ascii="Calibri" w:hAnsi="Calibri" w:eastAsia="SimSun" w:cs="Times New Roman"/>
          <w:b/>
          <w:kern w:val="2"/>
          <w:sz w:val="21"/>
          <w:szCs w:val="24"/>
          <w:lang w:bidi="ar-SA"/>
        </w:rPr>
        <w:t>代码规范：应用ESLint + Prettier，确保代码风格标准化</w:t>
      </w:r>
    </w:p>
    <w:p w14:paraId="24CAAE32">
      <w:pPr>
        <w:widowControl w:val="0"/>
        <w:bidi w:val="0"/>
        <w:jc w:val="both"/>
        <w:rPr>
          <w:rFonts w:ascii="Calibri" w:hAnsi="Calibri" w:eastAsia="SimSun" w:cs="Times New Roman"/>
          <w:b/>
          <w:kern w:val="2"/>
          <w:sz w:val="21"/>
          <w:szCs w:val="24"/>
          <w:lang w:bidi="ar-SA"/>
        </w:rPr>
      </w:pPr>
      <w:r>
        <w:rPr>
          <w:rFonts w:ascii="Calibri" w:hAnsi="Calibri" w:eastAsia="SimSun" w:cs="Times New Roman"/>
          <w:b/>
          <w:kern w:val="2"/>
          <w:sz w:val="21"/>
          <w:szCs w:val="24"/>
          <w:lang w:bidi="ar-SA"/>
        </w:rPr>
        <w:t>移动端：</w:t>
      </w:r>
    </w:p>
    <w:p w14:paraId="1927ECDD">
      <w:pPr>
        <w:widowControl w:val="0"/>
        <w:numPr>
          <w:ilvl w:val="0"/>
          <w:numId w:val="4"/>
        </w:numPr>
        <w:bidi w:val="0"/>
        <w:spacing w:before="0" w:beforeAutospacing="1" w:after="0" w:afterAutospacing="1"/>
        <w:ind w:left="720" w:firstLine="0"/>
        <w:jc w:val="both"/>
        <w:rPr>
          <w:rFonts w:ascii="Calibri" w:hAnsi="Calibri" w:eastAsia="SimSun" w:cs="Times New Roman"/>
          <w:b/>
          <w:kern w:val="2"/>
          <w:sz w:val="21"/>
          <w:szCs w:val="24"/>
          <w:lang w:bidi="ar-SA"/>
        </w:rPr>
      </w:pPr>
      <w:r>
        <w:rPr>
          <w:rFonts w:ascii="Calibri" w:hAnsi="Calibri" w:eastAsia="SimSun" w:cs="Times New Roman"/>
          <w:b/>
          <w:kern w:val="2"/>
          <w:sz w:val="21"/>
          <w:szCs w:val="24"/>
          <w:lang w:bidi="ar-SA"/>
        </w:rPr>
        <w:t>核心框架：采用uni - app（跨平台）</w:t>
      </w:r>
    </w:p>
    <w:p w14:paraId="36E65B49">
      <w:pPr>
        <w:widowControl w:val="0"/>
        <w:numPr>
          <w:ilvl w:val="0"/>
          <w:numId w:val="4"/>
        </w:numPr>
        <w:bidi w:val="0"/>
        <w:spacing w:before="0" w:beforeAutospacing="1" w:after="0" w:afterAutospacing="1"/>
        <w:ind w:left="720" w:firstLine="0"/>
        <w:jc w:val="both"/>
        <w:rPr>
          <w:rFonts w:ascii="Calibri" w:hAnsi="Calibri" w:eastAsia="SimSun" w:cs="Times New Roman"/>
          <w:b/>
          <w:kern w:val="2"/>
          <w:sz w:val="21"/>
          <w:szCs w:val="24"/>
          <w:lang w:bidi="ar-SA"/>
        </w:rPr>
      </w:pPr>
      <w:r>
        <w:rPr>
          <w:rFonts w:ascii="Calibri" w:hAnsi="Calibri" w:eastAsia="SimSun" w:cs="Times New Roman"/>
          <w:b/>
          <w:kern w:val="2"/>
          <w:sz w:val="21"/>
          <w:szCs w:val="24"/>
          <w:lang w:bidi="ar-SA"/>
        </w:rPr>
        <w:t>组件库：使用uview - ui</w:t>
      </w:r>
    </w:p>
    <w:p w14:paraId="065164C8">
      <w:pPr>
        <w:widowControl w:val="0"/>
        <w:numPr>
          <w:ilvl w:val="0"/>
          <w:numId w:val="4"/>
        </w:numPr>
        <w:bidi w:val="0"/>
        <w:spacing w:before="0" w:beforeAutospacing="1" w:after="0" w:afterAutospacing="1"/>
        <w:ind w:left="720" w:firstLine="0"/>
        <w:jc w:val="both"/>
        <w:rPr>
          <w:rFonts w:ascii="Calibri" w:hAnsi="Calibri" w:eastAsia="SimSun" w:cs="Times New Roman"/>
          <w:b/>
          <w:kern w:val="2"/>
          <w:sz w:val="21"/>
          <w:szCs w:val="24"/>
          <w:lang w:bidi="ar-SA"/>
        </w:rPr>
      </w:pPr>
      <w:r>
        <w:rPr>
          <w:rFonts w:ascii="Calibri" w:hAnsi="Calibri" w:eastAsia="SimSun" w:cs="Times New Roman"/>
          <w:b/>
          <w:kern w:val="2"/>
          <w:sz w:val="21"/>
          <w:szCs w:val="24"/>
          <w:lang w:bidi="ar-SA"/>
        </w:rPr>
        <w:t>小程序支持：支持微信小程序、支付宝小程序等多种小程序</w:t>
      </w:r>
    </w:p>
    <w:p w14:paraId="544973B2">
      <w:pPr>
        <w:widowControl w:val="0"/>
        <w:numPr>
          <w:ilvl w:val="0"/>
          <w:numId w:val="4"/>
        </w:numPr>
        <w:bidi w:val="0"/>
        <w:spacing w:before="0" w:beforeAutospacing="1" w:after="0" w:afterAutospacing="1"/>
        <w:ind w:left="720" w:firstLine="0"/>
        <w:jc w:val="both"/>
        <w:rPr>
          <w:rFonts w:ascii="Calibri" w:hAnsi="Calibri" w:eastAsia="SimSun" w:cs="Times New Roman"/>
          <w:b/>
          <w:kern w:val="2"/>
          <w:sz w:val="21"/>
          <w:szCs w:val="24"/>
          <w:lang w:bidi="ar-SA"/>
        </w:rPr>
      </w:pPr>
      <w:r>
        <w:rPr>
          <w:rFonts w:ascii="Calibri" w:hAnsi="Calibri" w:eastAsia="SimSun" w:cs="Times New Roman"/>
          <w:b/>
          <w:kern w:val="2"/>
          <w:sz w:val="21"/>
          <w:szCs w:val="24"/>
          <w:lang w:bidi="ar-SA"/>
        </w:rPr>
        <w:t>移动端地图：集成高德地图SDK，用于抄表轨迹和导航</w:t>
      </w:r>
    </w:p>
    <w:p w14:paraId="0C78B38B">
      <w:pPr>
        <w:widowControl w:val="0"/>
        <w:numPr>
          <w:ilvl w:val="0"/>
          <w:numId w:val="4"/>
        </w:numPr>
        <w:bidi w:val="0"/>
        <w:spacing w:before="0" w:beforeAutospacing="1" w:after="0" w:afterAutospacing="1"/>
        <w:ind w:left="720" w:firstLine="0"/>
        <w:jc w:val="both"/>
        <w:rPr>
          <w:rFonts w:ascii="Calibri" w:hAnsi="Calibri" w:eastAsia="SimSun" w:cs="Times New Roman"/>
          <w:b/>
          <w:kern w:val="2"/>
          <w:sz w:val="21"/>
          <w:szCs w:val="24"/>
          <w:lang w:bidi="ar-SA"/>
        </w:rPr>
      </w:pPr>
      <w:r>
        <w:rPr>
          <w:rFonts w:ascii="Calibri" w:hAnsi="Calibri" w:eastAsia="SimSun" w:cs="Times New Roman"/>
          <w:b/>
          <w:kern w:val="2"/>
          <w:sz w:val="21"/>
          <w:szCs w:val="24"/>
          <w:lang w:bidi="ar-SA"/>
        </w:rPr>
        <w:t>设备接入：支持NFC、扫码、相机等硬件设备接口</w:t>
      </w:r>
    </w:p>
    <w:p w14:paraId="1847F28F">
      <w:pPr>
        <w:pStyle w:val="5"/>
        <w:keepNext/>
        <w:keepLines/>
        <w:widowControl w:val="0"/>
        <w:bidi w:val="0"/>
        <w:spacing w:before="280" w:beforeLines="0" w:beforeAutospacing="0" w:after="290" w:afterLines="0" w:afterAutospacing="0" w:line="372" w:lineRule="auto"/>
        <w:jc w:val="both"/>
        <w:outlineLvl w:val="3"/>
        <w:rPr>
          <w:rFonts w:ascii="Arial" w:hAnsi="Arial" w:eastAsia="SimHei" w:cs="Times New Roman"/>
          <w:b/>
          <w:kern w:val="2"/>
          <w:sz w:val="28"/>
          <w:szCs w:val="24"/>
          <w:lang w:bidi="ar-SA"/>
        </w:rPr>
      </w:pPr>
      <w:r>
        <w:rPr>
          <w:rFonts w:ascii="Arial" w:hAnsi="Arial" w:eastAsia="SimHei" w:cs="Times New Roman"/>
          <w:b/>
          <w:kern w:val="2"/>
          <w:sz w:val="28"/>
          <w:szCs w:val="24"/>
          <w:lang w:bidi="ar-SA"/>
        </w:rPr>
        <w:t>2.</w:t>
      </w:r>
      <w:r>
        <w:rPr>
          <w:rFonts w:hint="eastAsia" w:ascii="Arial" w:hAnsi="Arial" w:eastAsia="SimHei" w:cs="Times New Roman"/>
          <w:b/>
          <w:kern w:val="2"/>
          <w:sz w:val="28"/>
          <w:szCs w:val="24"/>
          <w:lang w:val="en-US" w:eastAsia="zh-CN" w:bidi="ar-SA"/>
        </w:rPr>
        <w:t>4.3</w:t>
      </w:r>
      <w:r>
        <w:rPr>
          <w:rFonts w:ascii="Arial" w:hAnsi="Arial" w:eastAsia="SimHei" w:cs="Times New Roman"/>
          <w:b/>
          <w:kern w:val="2"/>
          <w:sz w:val="28"/>
          <w:szCs w:val="24"/>
          <w:lang w:bidi="ar-SA"/>
        </w:rPr>
        <w:t xml:space="preserve"> 技术特性</w:t>
      </w:r>
    </w:p>
    <w:p w14:paraId="7B8BA72E">
      <w:pPr>
        <w:widowControl w:val="0"/>
        <w:numPr>
          <w:ilvl w:val="0"/>
          <w:numId w:val="5"/>
        </w:numPr>
        <w:bidi w:val="0"/>
        <w:spacing w:before="0" w:beforeAutospacing="1" w:after="0" w:afterAutospacing="1"/>
        <w:ind w:left="720" w:firstLine="0"/>
        <w:jc w:val="both"/>
        <w:rPr>
          <w:rFonts w:ascii="Calibri" w:hAnsi="Calibri" w:eastAsia="SimSun" w:cs="Times New Roman"/>
          <w:b/>
          <w:kern w:val="2"/>
          <w:sz w:val="21"/>
          <w:szCs w:val="24"/>
          <w:lang w:bidi="ar-SA"/>
        </w:rPr>
      </w:pPr>
      <w:r>
        <w:rPr>
          <w:rFonts w:ascii="Calibri" w:hAnsi="Calibri" w:eastAsia="SimSun" w:cs="Times New Roman"/>
          <w:b/>
          <w:kern w:val="2"/>
          <w:sz w:val="21"/>
          <w:szCs w:val="24"/>
          <w:lang w:bidi="ar-SA"/>
        </w:rPr>
        <w:t>单点登录：通过OAuth2 + JWT实现统一认证</w:t>
      </w:r>
    </w:p>
    <w:p w14:paraId="1BE2DD6C">
      <w:pPr>
        <w:widowControl w:val="0"/>
        <w:numPr>
          <w:ilvl w:val="0"/>
          <w:numId w:val="5"/>
        </w:numPr>
        <w:bidi w:val="0"/>
        <w:spacing w:before="0" w:beforeAutospacing="1" w:after="0" w:afterAutospacing="1"/>
        <w:ind w:left="720" w:firstLine="0"/>
        <w:jc w:val="both"/>
        <w:rPr>
          <w:rFonts w:ascii="Calibri" w:hAnsi="Calibri" w:eastAsia="SimSun" w:cs="Times New Roman"/>
          <w:b/>
          <w:kern w:val="2"/>
          <w:sz w:val="21"/>
          <w:szCs w:val="24"/>
          <w:lang w:bidi="ar-SA"/>
        </w:rPr>
      </w:pPr>
      <w:r>
        <w:rPr>
          <w:rFonts w:ascii="Calibri" w:hAnsi="Calibri" w:eastAsia="SimSun" w:cs="Times New Roman"/>
          <w:b/>
          <w:kern w:val="2"/>
          <w:sz w:val="21"/>
          <w:szCs w:val="24"/>
          <w:lang w:bidi="ar-SA"/>
        </w:rPr>
        <w:t>数据交换：基于RESTful API实现系统内部数据交换与共享</w:t>
      </w:r>
    </w:p>
    <w:p w14:paraId="482DC2F0">
      <w:pPr>
        <w:widowControl w:val="0"/>
        <w:numPr>
          <w:ilvl w:val="0"/>
          <w:numId w:val="5"/>
        </w:numPr>
        <w:bidi w:val="0"/>
        <w:spacing w:before="0" w:beforeAutospacing="1" w:after="0" w:afterAutospacing="1"/>
        <w:ind w:left="720" w:firstLine="0"/>
        <w:jc w:val="both"/>
        <w:rPr>
          <w:rFonts w:ascii="Calibri" w:hAnsi="Calibri" w:eastAsia="SimSun" w:cs="Times New Roman"/>
          <w:b/>
          <w:kern w:val="2"/>
          <w:sz w:val="21"/>
          <w:szCs w:val="24"/>
          <w:lang w:bidi="ar-SA"/>
        </w:rPr>
      </w:pPr>
      <w:r>
        <w:rPr>
          <w:rFonts w:ascii="Calibri" w:hAnsi="Calibri" w:eastAsia="SimSun" w:cs="Times New Roman"/>
          <w:b/>
          <w:kern w:val="2"/>
          <w:sz w:val="21"/>
          <w:szCs w:val="24"/>
          <w:lang w:bidi="ar-SA"/>
        </w:rPr>
        <w:t>统一报表平台：集成JimuReport，支持自定义报表设计与生成</w:t>
      </w:r>
    </w:p>
    <w:p w14:paraId="446BDBA4">
      <w:pPr>
        <w:widowControl w:val="0"/>
        <w:numPr>
          <w:ilvl w:val="0"/>
          <w:numId w:val="5"/>
        </w:numPr>
        <w:bidi w:val="0"/>
        <w:spacing w:before="0" w:beforeAutospacing="1" w:after="0" w:afterAutospacing="1"/>
        <w:ind w:left="720" w:firstLine="0"/>
        <w:jc w:val="both"/>
        <w:rPr>
          <w:rFonts w:ascii="Calibri" w:hAnsi="Calibri" w:eastAsia="SimSun" w:cs="Times New Roman"/>
          <w:b/>
          <w:kern w:val="2"/>
          <w:sz w:val="21"/>
          <w:szCs w:val="24"/>
          <w:lang w:bidi="ar-SA"/>
        </w:rPr>
      </w:pPr>
      <w:r>
        <w:rPr>
          <w:rFonts w:ascii="Calibri" w:hAnsi="Calibri" w:eastAsia="SimSun" w:cs="Times New Roman"/>
          <w:b/>
          <w:kern w:val="2"/>
          <w:sz w:val="21"/>
          <w:szCs w:val="24"/>
          <w:lang w:bidi="ar-SA"/>
        </w:rPr>
        <w:t>大屏设计：集成GoView，支持可视化大屏设计</w:t>
      </w:r>
    </w:p>
    <w:p w14:paraId="3AB454BA">
      <w:pPr>
        <w:widowControl w:val="0"/>
        <w:numPr>
          <w:ilvl w:val="0"/>
          <w:numId w:val="5"/>
        </w:numPr>
        <w:bidi w:val="0"/>
        <w:spacing w:before="0" w:beforeAutospacing="1" w:after="0" w:afterAutospacing="1"/>
        <w:ind w:left="720" w:firstLine="0"/>
        <w:jc w:val="both"/>
        <w:rPr>
          <w:rFonts w:ascii="Calibri" w:hAnsi="Calibri" w:eastAsia="SimSun" w:cs="Times New Roman"/>
          <w:b/>
          <w:kern w:val="2"/>
          <w:sz w:val="21"/>
          <w:szCs w:val="24"/>
          <w:lang w:bidi="ar-SA"/>
        </w:rPr>
      </w:pPr>
      <w:r>
        <w:rPr>
          <w:rFonts w:ascii="Calibri" w:hAnsi="Calibri" w:eastAsia="SimSun" w:cs="Times New Roman"/>
          <w:b/>
          <w:kern w:val="2"/>
          <w:sz w:val="21"/>
          <w:szCs w:val="24"/>
          <w:lang w:bidi="ar-SA"/>
        </w:rPr>
        <w:t>安全保障：满足安全等保三级要求</w:t>
      </w:r>
    </w:p>
    <w:p w14:paraId="113D5BF0">
      <w:pPr>
        <w:widowControl w:val="0"/>
        <w:numPr>
          <w:ilvl w:val="0"/>
          <w:numId w:val="5"/>
        </w:numPr>
        <w:bidi w:val="0"/>
        <w:spacing w:before="0" w:beforeAutospacing="1" w:after="0" w:afterAutospacing="1"/>
        <w:ind w:left="720" w:firstLine="0"/>
        <w:jc w:val="both"/>
        <w:rPr>
          <w:rFonts w:ascii="Calibri" w:hAnsi="Calibri" w:eastAsia="SimSun" w:cs="Times New Roman"/>
          <w:b/>
          <w:kern w:val="2"/>
          <w:sz w:val="21"/>
          <w:szCs w:val="24"/>
          <w:lang w:bidi="ar-SA"/>
        </w:rPr>
      </w:pPr>
      <w:r>
        <w:rPr>
          <w:rFonts w:ascii="Calibri" w:hAnsi="Calibri" w:eastAsia="SimSun" w:cs="Times New Roman"/>
          <w:b/>
          <w:kern w:val="2"/>
          <w:sz w:val="21"/>
          <w:szCs w:val="24"/>
          <w:lang w:bidi="ar-SA"/>
        </w:rPr>
        <w:t>密码加密：采用BCrypt加密算法</w:t>
      </w:r>
    </w:p>
    <w:p w14:paraId="27D71352">
      <w:pPr>
        <w:widowControl w:val="0"/>
        <w:numPr>
          <w:ilvl w:val="0"/>
          <w:numId w:val="5"/>
        </w:numPr>
        <w:bidi w:val="0"/>
        <w:spacing w:before="0" w:beforeAutospacing="1" w:after="0" w:afterAutospacing="1"/>
        <w:ind w:left="720" w:firstLine="0"/>
        <w:jc w:val="both"/>
        <w:rPr>
          <w:rFonts w:ascii="Calibri" w:hAnsi="Calibri" w:eastAsia="SimSun" w:cs="Times New Roman"/>
          <w:b/>
          <w:kern w:val="2"/>
          <w:sz w:val="21"/>
          <w:szCs w:val="24"/>
          <w:lang w:bidi="ar-SA"/>
        </w:rPr>
      </w:pPr>
      <w:r>
        <w:rPr>
          <w:rFonts w:ascii="Calibri" w:hAnsi="Calibri" w:eastAsia="SimSun" w:cs="Times New Roman"/>
          <w:b/>
          <w:kern w:val="2"/>
          <w:sz w:val="21"/>
          <w:szCs w:val="24"/>
          <w:lang w:bidi="ar-SA"/>
        </w:rPr>
        <w:t>防XSS攻击：实施表单数据过滤</w:t>
      </w:r>
    </w:p>
    <w:p w14:paraId="02546B40">
      <w:pPr>
        <w:widowControl w:val="0"/>
        <w:numPr>
          <w:ilvl w:val="0"/>
          <w:numId w:val="5"/>
        </w:numPr>
        <w:bidi w:val="0"/>
        <w:spacing w:before="0" w:beforeAutospacing="1" w:after="0" w:afterAutospacing="1"/>
        <w:ind w:left="720" w:firstLine="0"/>
        <w:jc w:val="both"/>
        <w:rPr>
          <w:rFonts w:ascii="Calibri" w:hAnsi="Calibri" w:eastAsia="SimSun" w:cs="Times New Roman"/>
          <w:b/>
          <w:kern w:val="2"/>
          <w:sz w:val="21"/>
          <w:szCs w:val="24"/>
          <w:lang w:bidi="ar-SA"/>
        </w:rPr>
      </w:pPr>
      <w:r>
        <w:rPr>
          <w:rFonts w:ascii="Calibri" w:hAnsi="Calibri" w:eastAsia="SimSun" w:cs="Times New Roman"/>
          <w:b/>
          <w:kern w:val="2"/>
          <w:sz w:val="21"/>
          <w:szCs w:val="24"/>
          <w:lang w:bidi="ar-SA"/>
        </w:rPr>
        <w:t>防SQL注入：采用参数化查询</w:t>
      </w:r>
    </w:p>
    <w:p w14:paraId="6F3455E1">
      <w:pPr>
        <w:widowControl w:val="0"/>
        <w:numPr>
          <w:ilvl w:val="0"/>
          <w:numId w:val="5"/>
        </w:numPr>
        <w:bidi w:val="0"/>
        <w:spacing w:before="0" w:beforeAutospacing="1" w:after="0" w:afterAutospacing="1"/>
        <w:ind w:left="720" w:firstLine="0"/>
        <w:jc w:val="both"/>
        <w:rPr>
          <w:rFonts w:ascii="Calibri" w:hAnsi="Calibri" w:eastAsia="SimSun" w:cs="Times New Roman"/>
          <w:b/>
          <w:kern w:val="2"/>
          <w:sz w:val="21"/>
          <w:szCs w:val="24"/>
          <w:lang w:bidi="ar-SA"/>
        </w:rPr>
      </w:pPr>
      <w:r>
        <w:rPr>
          <w:rFonts w:ascii="Calibri" w:hAnsi="Calibri" w:eastAsia="SimSun" w:cs="Times New Roman"/>
          <w:b/>
          <w:kern w:val="2"/>
          <w:sz w:val="21"/>
          <w:szCs w:val="24"/>
          <w:lang w:bidi="ar-SA"/>
        </w:rPr>
        <w:t>防CSRF攻击：通过Token验证</w:t>
      </w:r>
    </w:p>
    <w:p w14:paraId="0877617C">
      <w:pPr>
        <w:widowControl w:val="0"/>
        <w:numPr>
          <w:ilvl w:val="0"/>
          <w:numId w:val="5"/>
        </w:numPr>
        <w:bidi w:val="0"/>
        <w:spacing w:before="0" w:beforeAutospacing="1" w:after="0" w:afterAutospacing="1"/>
        <w:ind w:left="720" w:firstLine="0"/>
        <w:jc w:val="both"/>
        <w:rPr>
          <w:rFonts w:ascii="Calibri" w:hAnsi="Calibri" w:eastAsia="SimSun" w:cs="Times New Roman"/>
          <w:b/>
          <w:kern w:val="2"/>
          <w:sz w:val="21"/>
          <w:szCs w:val="24"/>
          <w:lang w:bidi="ar-SA"/>
        </w:rPr>
      </w:pPr>
      <w:r>
        <w:rPr>
          <w:rFonts w:ascii="Calibri" w:hAnsi="Calibri" w:eastAsia="SimSun" w:cs="Times New Roman"/>
          <w:b/>
          <w:kern w:val="2"/>
          <w:sz w:val="21"/>
          <w:szCs w:val="24"/>
          <w:lang w:bidi="ar-SA"/>
        </w:rPr>
        <w:t>性能规格：支持200并发用户，50并发移动设备，系统响应时间不超过3秒</w:t>
      </w:r>
    </w:p>
    <w:p w14:paraId="1FCF48A4">
      <w:pPr>
        <w:widowControl w:val="0"/>
        <w:numPr>
          <w:ilvl w:val="0"/>
          <w:numId w:val="5"/>
        </w:numPr>
        <w:bidi w:val="0"/>
        <w:spacing w:before="0" w:beforeAutospacing="1" w:after="0" w:afterAutospacing="1"/>
        <w:ind w:left="720" w:firstLine="0"/>
        <w:jc w:val="both"/>
        <w:rPr>
          <w:rFonts w:ascii="Calibri" w:hAnsi="Calibri" w:eastAsia="SimSun" w:cs="Times New Roman"/>
          <w:b/>
          <w:kern w:val="2"/>
          <w:sz w:val="21"/>
          <w:szCs w:val="24"/>
          <w:lang w:bidi="ar-SA"/>
        </w:rPr>
      </w:pPr>
      <w:r>
        <w:rPr>
          <w:rFonts w:ascii="Calibri" w:hAnsi="Calibri" w:eastAsia="SimSun" w:cs="Times New Roman"/>
          <w:b/>
          <w:kern w:val="2"/>
          <w:sz w:val="21"/>
          <w:szCs w:val="24"/>
          <w:lang w:bidi="ar-SA"/>
        </w:rPr>
        <w:t>扩展容量：支持100万客户的业务量，满足企业3至5年的业务发展需求</w:t>
      </w:r>
    </w:p>
    <w:p w14:paraId="134E511E">
      <w:pPr>
        <w:widowControl w:val="0"/>
        <w:numPr>
          <w:ilvl w:val="0"/>
          <w:numId w:val="5"/>
        </w:numPr>
        <w:bidi w:val="0"/>
        <w:spacing w:before="0" w:beforeAutospacing="1" w:after="0" w:afterAutospacing="1"/>
        <w:ind w:left="720" w:firstLine="0"/>
        <w:jc w:val="both"/>
        <w:rPr>
          <w:rFonts w:ascii="Calibri" w:hAnsi="Calibri" w:eastAsia="SimSun" w:cs="Times New Roman"/>
          <w:b/>
          <w:kern w:val="2"/>
          <w:sz w:val="21"/>
          <w:szCs w:val="24"/>
          <w:lang w:bidi="ar-SA"/>
        </w:rPr>
      </w:pPr>
      <w:r>
        <w:rPr>
          <w:rFonts w:ascii="Calibri" w:hAnsi="Calibri" w:eastAsia="SimSun" w:cs="Times New Roman"/>
          <w:b/>
          <w:kern w:val="2"/>
          <w:sz w:val="21"/>
          <w:szCs w:val="24"/>
          <w:lang w:bidi="ar-SA"/>
        </w:rPr>
        <w:t>支持功能：</w:t>
      </w:r>
    </w:p>
    <w:p w14:paraId="5EB3EDF2">
      <w:pPr>
        <w:widowControl w:val="0"/>
        <w:numPr>
          <w:ilvl w:val="1"/>
          <w:numId w:val="5"/>
        </w:numPr>
        <w:bidi w:val="0"/>
        <w:spacing w:before="0" w:beforeAutospacing="1" w:after="0" w:afterAutospacing="1"/>
        <w:ind w:left="1440" w:firstLine="0"/>
        <w:jc w:val="both"/>
        <w:rPr>
          <w:rFonts w:ascii="Calibri" w:hAnsi="Calibri" w:eastAsia="SimSun" w:cs="Times New Roman"/>
          <w:b/>
          <w:kern w:val="2"/>
          <w:sz w:val="21"/>
          <w:szCs w:val="24"/>
          <w:lang w:bidi="ar-SA"/>
        </w:rPr>
      </w:pPr>
      <w:r>
        <w:rPr>
          <w:rFonts w:ascii="Calibri" w:hAnsi="Calibri" w:eastAsia="SimSun" w:cs="Times New Roman"/>
          <w:b/>
          <w:kern w:val="2"/>
          <w:sz w:val="21"/>
          <w:szCs w:val="24"/>
          <w:lang w:bidi="ar-SA"/>
        </w:rPr>
        <w:t>支付管理：支持微信支付、支付宝支付等多种支付方式</w:t>
      </w:r>
    </w:p>
    <w:p w14:paraId="52E28F0B">
      <w:pPr>
        <w:widowControl w:val="0"/>
        <w:numPr>
          <w:ilvl w:val="1"/>
          <w:numId w:val="5"/>
        </w:numPr>
        <w:bidi w:val="0"/>
        <w:spacing w:before="0" w:beforeAutospacing="1" w:after="0" w:afterAutospacing="1"/>
        <w:ind w:left="1440" w:firstLine="0"/>
        <w:jc w:val="both"/>
        <w:rPr>
          <w:rFonts w:ascii="Calibri" w:hAnsi="Calibri" w:eastAsia="SimSun" w:cs="Times New Roman"/>
          <w:b/>
          <w:kern w:val="2"/>
          <w:sz w:val="21"/>
          <w:szCs w:val="24"/>
          <w:lang w:bidi="ar-SA"/>
        </w:rPr>
      </w:pPr>
      <w:r>
        <w:rPr>
          <w:rFonts w:ascii="Calibri" w:hAnsi="Calibri" w:eastAsia="SimSun" w:cs="Times New Roman"/>
          <w:b/>
          <w:kern w:val="2"/>
          <w:sz w:val="21"/>
          <w:szCs w:val="24"/>
          <w:lang w:bidi="ar-SA"/>
        </w:rPr>
        <w:t>短信服务：接入阿里云、腾讯云等多家短信服务商</w:t>
      </w:r>
    </w:p>
    <w:p w14:paraId="43392EAF">
      <w:pPr>
        <w:widowControl w:val="0"/>
        <w:numPr>
          <w:ilvl w:val="1"/>
          <w:numId w:val="5"/>
        </w:numPr>
        <w:bidi w:val="0"/>
        <w:spacing w:before="0" w:beforeAutospacing="1" w:after="0" w:afterAutospacing="1"/>
        <w:ind w:left="1440" w:firstLine="0"/>
        <w:jc w:val="both"/>
        <w:rPr>
          <w:rFonts w:ascii="Calibri" w:hAnsi="Calibri" w:eastAsia="SimSun" w:cs="Times New Roman"/>
          <w:b/>
          <w:kern w:val="2"/>
          <w:sz w:val="21"/>
          <w:szCs w:val="24"/>
          <w:lang w:bidi="ar-SA"/>
        </w:rPr>
      </w:pPr>
      <w:r>
        <w:rPr>
          <w:rFonts w:ascii="Calibri" w:hAnsi="Calibri" w:eastAsia="SimSun" w:cs="Times New Roman"/>
          <w:b/>
          <w:kern w:val="2"/>
          <w:sz w:val="21"/>
          <w:szCs w:val="24"/>
          <w:lang w:bidi="ar-SA"/>
        </w:rPr>
        <w:t>AI能力：</w:t>
      </w:r>
    </w:p>
    <w:p w14:paraId="52F6258F">
      <w:pPr>
        <w:widowControl w:val="0"/>
        <w:numPr>
          <w:ilvl w:val="2"/>
          <w:numId w:val="5"/>
        </w:numPr>
        <w:bidi w:val="0"/>
        <w:spacing w:before="0" w:beforeAutospacing="1" w:after="0" w:afterAutospacing="1"/>
        <w:ind w:left="2160" w:firstLine="0"/>
        <w:jc w:val="both"/>
        <w:rPr>
          <w:rFonts w:ascii="Calibri" w:hAnsi="Calibri" w:eastAsia="SimSun" w:cs="Times New Roman"/>
          <w:b/>
          <w:kern w:val="2"/>
          <w:sz w:val="21"/>
          <w:szCs w:val="24"/>
          <w:lang w:bidi="ar-SA"/>
        </w:rPr>
      </w:pPr>
      <w:r>
        <w:rPr>
          <w:rFonts w:ascii="Calibri" w:hAnsi="Calibri" w:eastAsia="SimSun" w:cs="Times New Roman"/>
          <w:b/>
          <w:kern w:val="2"/>
          <w:sz w:val="21"/>
          <w:szCs w:val="24"/>
          <w:lang w:bidi="ar-SA"/>
        </w:rPr>
        <w:t>智能抄表：利用图像识别技术实现水表读数的智能抄表</w:t>
      </w:r>
    </w:p>
    <w:p w14:paraId="78C5027B">
      <w:pPr>
        <w:widowControl w:val="0"/>
        <w:numPr>
          <w:ilvl w:val="2"/>
          <w:numId w:val="5"/>
        </w:numPr>
        <w:bidi w:val="0"/>
        <w:spacing w:before="0" w:beforeAutospacing="1" w:after="0" w:afterAutospacing="1"/>
        <w:ind w:left="2160" w:firstLine="0"/>
        <w:jc w:val="both"/>
        <w:rPr>
          <w:rFonts w:ascii="Calibri" w:hAnsi="Calibri" w:eastAsia="SimSun" w:cs="Times New Roman"/>
          <w:b/>
          <w:kern w:val="2"/>
          <w:sz w:val="21"/>
          <w:szCs w:val="24"/>
          <w:lang w:bidi="ar-SA"/>
        </w:rPr>
      </w:pPr>
      <w:r>
        <w:rPr>
          <w:rFonts w:ascii="Calibri" w:hAnsi="Calibri" w:eastAsia="SimSun" w:cs="Times New Roman"/>
          <w:b/>
          <w:kern w:val="2"/>
          <w:sz w:val="21"/>
          <w:szCs w:val="24"/>
          <w:lang w:bidi="ar-SA"/>
        </w:rPr>
        <w:t>异常分析：基于AI技术进行用水异常分析</w:t>
      </w:r>
    </w:p>
    <w:p w14:paraId="3C9D2B79">
      <w:pPr>
        <w:widowControl w:val="0"/>
        <w:numPr>
          <w:ilvl w:val="1"/>
          <w:numId w:val="5"/>
        </w:numPr>
        <w:bidi w:val="0"/>
        <w:spacing w:before="0" w:beforeAutospacing="1" w:after="100" w:afterAutospacing="1"/>
        <w:ind w:left="1440" w:firstLine="0"/>
        <w:jc w:val="both"/>
      </w:pPr>
      <w:r>
        <w:rPr>
          <w:rFonts w:ascii="Calibri" w:hAnsi="Calibri" w:eastAsia="SimSun" w:cs="Times New Roman"/>
          <w:b/>
          <w:kern w:val="2"/>
          <w:sz w:val="21"/>
          <w:szCs w:val="24"/>
          <w:lang w:bidi="ar-SA"/>
        </w:rPr>
        <w:t>API网关：支持API权限管理、限流熔断、白名单控制</w:t>
      </w:r>
    </w:p>
    <w:p w14:paraId="74FF1EC0"/>
    <w:p w14:paraId="22C38F88">
      <w:pPr>
        <w:pStyle w:val="3"/>
      </w:pPr>
      <w:r>
        <w:t>3. 系统功能设计</w:t>
      </w:r>
    </w:p>
    <w:p w14:paraId="547E069C">
      <w:pPr>
        <w:pStyle w:val="5"/>
      </w:pPr>
    </w:p>
    <w:p w14:paraId="182FD88C">
      <w:pPr>
        <w:pStyle w:val="3"/>
      </w:pPr>
      <w:r>
        <w:t>4. 系统数据设计</w:t>
      </w:r>
    </w:p>
    <w:p w14:paraId="25168561">
      <w:pPr>
        <w:pStyle w:val="4"/>
      </w:pPr>
      <w:r>
        <w:t>4.1 数据库设计</w:t>
      </w:r>
      <w:bookmarkStart w:id="0" w:name="_GoBack"/>
      <w:bookmarkEnd w:id="0"/>
    </w:p>
    <w:p w14:paraId="38C7A964">
      <w:pPr>
        <w:pStyle w:val="5"/>
      </w:pPr>
      <w:r>
        <w:t>4.1.1 数据库概念设计</w:t>
      </w:r>
    </w:p>
    <w:p w14:paraId="4A1C3394">
      <w:pPr>
        <w:pStyle w:val="5"/>
      </w:pPr>
      <w:r>
        <w:t>4.1.2 数据库逻辑设计</w:t>
      </w:r>
    </w:p>
    <w:p w14:paraId="1C27A922">
      <w:pPr>
        <w:pStyle w:val="5"/>
      </w:pPr>
      <w:r>
        <w:t>4.1.3 数据库物理设计</w:t>
      </w:r>
    </w:p>
    <w:p w14:paraId="63A6FE39">
      <w:pPr>
        <w:pStyle w:val="4"/>
      </w:pPr>
      <w:r>
        <w:t>4.2 数据流设计</w:t>
      </w:r>
    </w:p>
    <w:p w14:paraId="69BB06BF">
      <w:pPr>
        <w:pStyle w:val="4"/>
      </w:pPr>
      <w:r>
        <w:t>4.3 数据字典</w:t>
      </w:r>
    </w:p>
    <w:p w14:paraId="7897FE32">
      <w:pPr>
        <w:pStyle w:val="3"/>
      </w:pPr>
      <w:r>
        <w:t>5. 系统接口设计</w:t>
      </w:r>
    </w:p>
    <w:p w14:paraId="1E4B0E46">
      <w:pPr>
        <w:pStyle w:val="4"/>
      </w:pPr>
      <w:r>
        <w:t>5.1 外部接口</w:t>
      </w:r>
    </w:p>
    <w:p w14:paraId="443A9F93">
      <w:pPr>
        <w:pStyle w:val="4"/>
      </w:pPr>
      <w:r>
        <w:t>5.2 内部接口</w:t>
      </w:r>
    </w:p>
    <w:p w14:paraId="1C7B3F1F">
      <w:pPr>
        <w:pStyle w:val="4"/>
      </w:pPr>
      <w:r>
        <w:t>5.3 接口协议</w:t>
      </w:r>
    </w:p>
    <w:p w14:paraId="672107C1">
      <w:pPr>
        <w:pStyle w:val="3"/>
      </w:pPr>
      <w:r>
        <w:t>6. 系统安全设计</w:t>
      </w:r>
    </w:p>
    <w:p w14:paraId="04D4C83D">
      <w:pPr>
        <w:pStyle w:val="4"/>
      </w:pPr>
      <w:r>
        <w:t>6.1 安全需求分析</w:t>
      </w:r>
    </w:p>
    <w:p w14:paraId="1FF55C25">
      <w:pPr>
        <w:pStyle w:val="4"/>
      </w:pPr>
      <w:r>
        <w:t>6.2 安全策略</w:t>
      </w:r>
    </w:p>
    <w:p w14:paraId="64C3D6BC">
      <w:pPr>
        <w:pStyle w:val="4"/>
      </w:pPr>
      <w:r>
        <w:t>6.3 安全措施</w:t>
      </w:r>
    </w:p>
    <w:p w14:paraId="2140715F">
      <w:pPr>
        <w:pStyle w:val="3"/>
      </w:pPr>
      <w:r>
        <w:t>7. 系统部署设计</w:t>
      </w:r>
    </w:p>
    <w:p w14:paraId="504CEB9A">
      <w:pPr>
        <w:pStyle w:val="4"/>
      </w:pPr>
      <w:r>
        <w:t>7.1 硬件部署</w:t>
      </w:r>
    </w:p>
    <w:p w14:paraId="5BFE20D9">
      <w:pPr>
        <w:pStyle w:val="4"/>
      </w:pPr>
      <w:r>
        <w:t>7.2 软件部署</w:t>
      </w:r>
    </w:p>
    <w:p w14:paraId="2380EA08">
      <w:pPr>
        <w:pStyle w:val="4"/>
      </w:pPr>
      <w:r>
        <w:t>7.3 网络部署</w:t>
      </w:r>
    </w:p>
    <w:p w14:paraId="5E970EC2">
      <w:pPr>
        <w:pStyle w:val="3"/>
      </w:pPr>
      <w:r>
        <w:t>8. 系统测试计划</w:t>
      </w:r>
    </w:p>
    <w:p w14:paraId="576E0AB5">
      <w:pPr>
        <w:pStyle w:val="4"/>
      </w:pPr>
      <w:r>
        <w:t>8.1 测试目标</w:t>
      </w:r>
    </w:p>
    <w:p w14:paraId="1396BB55">
      <w:pPr>
        <w:pStyle w:val="4"/>
      </w:pPr>
      <w:r>
        <w:t>8.2 测试策略</w:t>
      </w:r>
    </w:p>
    <w:p w14:paraId="6225DC36">
      <w:pPr>
        <w:pStyle w:val="4"/>
      </w:pPr>
      <w:r>
        <w:t>8.3 测试环境</w:t>
      </w:r>
    </w:p>
    <w:p w14:paraId="0150E73A">
      <w:pPr>
        <w:pStyle w:val="4"/>
      </w:pPr>
      <w:r>
        <w:t>8.4 测试用例</w:t>
      </w:r>
    </w:p>
    <w:p w14:paraId="48984727">
      <w:pPr>
        <w:pStyle w:val="3"/>
      </w:pPr>
      <w:r>
        <w:t>9. 项目实施计划</w:t>
      </w:r>
    </w:p>
    <w:p w14:paraId="6F2B1FB9">
      <w:pPr>
        <w:pStyle w:val="4"/>
      </w:pPr>
      <w:r>
        <w:t>9.1 实施步骤</w:t>
      </w:r>
    </w:p>
    <w:p w14:paraId="439267B3">
      <w:pPr>
        <w:pStyle w:val="4"/>
      </w:pPr>
      <w:r>
        <w:t>9.2 时间安排</w:t>
      </w:r>
    </w:p>
    <w:p w14:paraId="3B607091">
      <w:pPr>
        <w:pStyle w:val="4"/>
      </w:pPr>
      <w:r>
        <w:t>9.3 资源需求</w:t>
      </w:r>
    </w:p>
    <w:p w14:paraId="1C1BD425">
      <w:pPr>
        <w:pStyle w:val="4"/>
      </w:pPr>
      <w:r>
        <w:t>9.4 风险评估</w:t>
      </w:r>
    </w:p>
    <w:p w14:paraId="532EFF49">
      <w:pPr>
        <w:pStyle w:val="3"/>
      </w:pPr>
      <w:r>
        <w:t>10. 维护计划</w:t>
      </w:r>
    </w:p>
    <w:p w14:paraId="5A4CEA39">
      <w:pPr>
        <w:pStyle w:val="4"/>
      </w:pPr>
      <w:r>
        <w:t>10.1 维护策略</w:t>
      </w:r>
    </w:p>
    <w:p w14:paraId="36EECACD">
      <w:pPr>
        <w:pStyle w:val="4"/>
      </w:pPr>
      <w:r>
        <w:t>10.2 维护流程</w:t>
      </w:r>
    </w:p>
    <w:p w14:paraId="52DEB8F2">
      <w:pPr>
        <w:pStyle w:val="4"/>
      </w:pPr>
      <w:r>
        <w:t>10.3 维护工具</w:t>
      </w:r>
    </w:p>
    <w:p w14:paraId="15365EA6">
      <w:pPr>
        <w:pStyle w:val="3"/>
      </w:pPr>
      <w:r>
        <w:t>11. 附录</w:t>
      </w:r>
    </w:p>
    <w:tbl>
      <w:tblPr>
        <w:tblStyle w:val="6"/>
        <w:tblpPr w:leftFromText="180" w:rightFromText="180" w:vertAnchor="text" w:horzAnchor="page" w:tblpXSpec="center" w:tblpY="883"/>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2244"/>
        <w:gridCol w:w="2137"/>
        <w:gridCol w:w="3862"/>
      </w:tblGrid>
      <w:tr w14:paraId="47DF0030">
        <w:trPr>
          <w:jc w:val="center"/>
        </w:trPr>
        <w:tc>
          <w:tcPr>
            <w:tcW w:w="2244" w:type="dxa"/>
            <w:shd w:val="clear" w:color="auto" w:fill="auto"/>
            <w:vAlign w:val="top"/>
          </w:tcPr>
          <w:p w14:paraId="44E73781">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类别</w:t>
            </w:r>
          </w:p>
        </w:tc>
        <w:tc>
          <w:tcPr>
            <w:tcW w:w="2137" w:type="dxa"/>
            <w:shd w:val="clear" w:color="auto" w:fill="auto"/>
            <w:vAlign w:val="top"/>
          </w:tcPr>
          <w:p w14:paraId="54763B4B">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术语</w:t>
            </w:r>
          </w:p>
        </w:tc>
        <w:tc>
          <w:tcPr>
            <w:tcW w:w="3862" w:type="dxa"/>
            <w:shd w:val="clear" w:color="auto" w:fill="auto"/>
            <w:vAlign w:val="top"/>
          </w:tcPr>
          <w:p w14:paraId="37D22FE9">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定义</w:t>
            </w:r>
          </w:p>
        </w:tc>
      </w:tr>
      <w:tr w14:paraId="542C9116">
        <w:trPr>
          <w:jc w:val="center"/>
        </w:trPr>
        <w:tc>
          <w:tcPr>
            <w:tcW w:w="2244" w:type="dxa"/>
            <w:shd w:val="clear" w:color="auto" w:fill="auto"/>
            <w:vAlign w:val="top"/>
          </w:tcPr>
          <w:p w14:paraId="71A1B77F">
            <w:pPr>
              <w:pStyle w:val="8"/>
              <w:keepNext w:val="0"/>
              <w:keepLines w:val="0"/>
              <w:widowControl/>
              <w:suppressLineNumbers w:val="0"/>
              <w:ind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基础术语</w:t>
            </w:r>
          </w:p>
        </w:tc>
        <w:tc>
          <w:tcPr>
            <w:tcW w:w="2137" w:type="dxa"/>
            <w:shd w:val="clear" w:color="auto" w:fill="auto"/>
            <w:vAlign w:val="top"/>
          </w:tcPr>
          <w:p w14:paraId="542068F7">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站点</w:t>
            </w:r>
          </w:p>
        </w:tc>
        <w:tc>
          <w:tcPr>
            <w:tcW w:w="3862" w:type="dxa"/>
            <w:shd w:val="clear" w:color="auto" w:fill="auto"/>
            <w:vAlign w:val="top"/>
          </w:tcPr>
          <w:p w14:paraId="16EA85DD">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用于划分用户所属管辖区域，站点可以进行多级管理。通常指水务公司下属的营业网点或服务站。</w:t>
            </w:r>
          </w:p>
        </w:tc>
      </w:tr>
      <w:tr w14:paraId="4C91B45D">
        <w:trPr>
          <w:jc w:val="center"/>
        </w:trPr>
        <w:tc>
          <w:tcPr>
            <w:tcW w:w="2244" w:type="dxa"/>
            <w:shd w:val="clear" w:color="auto" w:fill="auto"/>
            <w:vAlign w:val="top"/>
          </w:tcPr>
          <w:p w14:paraId="542FBD2B">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基础术语</w:t>
            </w:r>
          </w:p>
        </w:tc>
        <w:tc>
          <w:tcPr>
            <w:tcW w:w="2137" w:type="dxa"/>
            <w:shd w:val="clear" w:color="auto" w:fill="auto"/>
            <w:vAlign w:val="top"/>
          </w:tcPr>
          <w:p w14:paraId="1C11A691">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册本</w:t>
            </w:r>
          </w:p>
        </w:tc>
        <w:tc>
          <w:tcPr>
            <w:tcW w:w="3862" w:type="dxa"/>
            <w:shd w:val="clear" w:color="auto" w:fill="auto"/>
            <w:vAlign w:val="top"/>
          </w:tcPr>
          <w:p w14:paraId="3FA5FC5F">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又称抄表本或抄表簿，根据抄表线路规划，按排相邻的一些水表给某一个抄表员进行抄表；册本的属性有册本编号、册本名称、抄表员、抄表工次、抄表周期、起抄日期等。</w:t>
            </w:r>
          </w:p>
        </w:tc>
      </w:tr>
      <w:tr w14:paraId="7152FB6E">
        <w:trPr>
          <w:jc w:val="center"/>
        </w:trPr>
        <w:tc>
          <w:tcPr>
            <w:tcW w:w="2244" w:type="dxa"/>
            <w:shd w:val="clear" w:color="auto" w:fill="auto"/>
            <w:vAlign w:val="top"/>
          </w:tcPr>
          <w:p w14:paraId="22BD2AEC">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基础术语</w:t>
            </w:r>
          </w:p>
        </w:tc>
        <w:tc>
          <w:tcPr>
            <w:tcW w:w="2137" w:type="dxa"/>
            <w:shd w:val="clear" w:color="auto" w:fill="auto"/>
            <w:vAlign w:val="top"/>
          </w:tcPr>
          <w:p w14:paraId="72D0CBA4">
            <w:pPr>
              <w:pStyle w:val="8"/>
              <w:keepNext w:val="0"/>
              <w:keepLines w:val="0"/>
              <w:widowControl/>
              <w:suppressLineNumbers w:val="0"/>
              <w:ind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用户编号</w:t>
            </w:r>
          </w:p>
        </w:tc>
        <w:tc>
          <w:tcPr>
            <w:tcW w:w="3862" w:type="dxa"/>
            <w:shd w:val="clear" w:color="auto" w:fill="auto"/>
            <w:vAlign w:val="top"/>
          </w:tcPr>
          <w:p w14:paraId="5999B9F7">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为签定了供用水合同的正式用户分配的唯一识别号，用户编号自立户时自动由系统按指定规则产生，用户编号一旦生成，不能因过户、用水性质发生变更等原因而改变。</w:t>
            </w:r>
          </w:p>
        </w:tc>
      </w:tr>
      <w:tr w14:paraId="7D7C02CF">
        <w:trPr>
          <w:jc w:val="center"/>
        </w:trPr>
        <w:tc>
          <w:tcPr>
            <w:tcW w:w="2244" w:type="dxa"/>
            <w:shd w:val="clear" w:color="auto" w:fill="auto"/>
            <w:vAlign w:val="top"/>
          </w:tcPr>
          <w:p w14:paraId="4F0140A6">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基础术语</w:t>
            </w:r>
          </w:p>
        </w:tc>
        <w:tc>
          <w:tcPr>
            <w:tcW w:w="2137" w:type="dxa"/>
            <w:shd w:val="clear" w:color="auto" w:fill="auto"/>
            <w:vAlign w:val="top"/>
          </w:tcPr>
          <w:p w14:paraId="4B482D06">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水表分类</w:t>
            </w:r>
          </w:p>
        </w:tc>
        <w:tc>
          <w:tcPr>
            <w:tcW w:w="3862" w:type="dxa"/>
            <w:shd w:val="clear" w:color="auto" w:fill="auto"/>
            <w:vAlign w:val="top"/>
          </w:tcPr>
          <w:p w14:paraId="376340B0">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水表分类分为单表、总分表等。单表是指只服务一个用户的水表；总分表是指一个总表下面有多个分表的情况，通常用于小区或企业用水管理。</w:t>
            </w:r>
          </w:p>
        </w:tc>
      </w:tr>
      <w:tr w14:paraId="21737447">
        <w:trPr>
          <w:jc w:val="center"/>
        </w:trPr>
        <w:tc>
          <w:tcPr>
            <w:tcW w:w="2244" w:type="dxa"/>
            <w:shd w:val="clear" w:color="auto" w:fill="auto"/>
            <w:vAlign w:val="top"/>
          </w:tcPr>
          <w:p w14:paraId="5400946D">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水量与计费术语</w:t>
            </w:r>
          </w:p>
        </w:tc>
        <w:tc>
          <w:tcPr>
            <w:tcW w:w="2137" w:type="dxa"/>
            <w:shd w:val="clear" w:color="auto" w:fill="auto"/>
            <w:vAlign w:val="top"/>
          </w:tcPr>
          <w:p w14:paraId="00D2F189">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售水量</w:t>
            </w:r>
          </w:p>
        </w:tc>
        <w:tc>
          <w:tcPr>
            <w:tcW w:w="3862" w:type="dxa"/>
            <w:shd w:val="clear" w:color="auto" w:fill="auto"/>
            <w:vAlign w:val="top"/>
          </w:tcPr>
          <w:p w14:paraId="5360AE89">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抄收水量+查处水量±调整水量</w:t>
            </w:r>
          </w:p>
        </w:tc>
      </w:tr>
      <w:tr w14:paraId="249EF4AA">
        <w:trPr>
          <w:jc w:val="center"/>
        </w:trPr>
        <w:tc>
          <w:tcPr>
            <w:tcW w:w="2244" w:type="dxa"/>
            <w:shd w:val="clear" w:color="auto" w:fill="auto"/>
            <w:vAlign w:val="top"/>
          </w:tcPr>
          <w:p w14:paraId="2389C992">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水量与计费术语</w:t>
            </w:r>
          </w:p>
        </w:tc>
        <w:tc>
          <w:tcPr>
            <w:tcW w:w="2137" w:type="dxa"/>
            <w:shd w:val="clear" w:color="auto" w:fill="auto"/>
            <w:vAlign w:val="top"/>
          </w:tcPr>
          <w:p w14:paraId="5830EECB">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抄收水量</w:t>
            </w:r>
          </w:p>
        </w:tc>
        <w:tc>
          <w:tcPr>
            <w:tcW w:w="3862" w:type="dxa"/>
            <w:shd w:val="clear" w:color="auto" w:fill="auto"/>
            <w:vAlign w:val="top"/>
          </w:tcPr>
          <w:p w14:paraId="40977D61">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通过抄表收费的水量</w:t>
            </w:r>
          </w:p>
        </w:tc>
      </w:tr>
      <w:tr w14:paraId="5653E1C4">
        <w:trPr>
          <w:jc w:val="center"/>
        </w:trPr>
        <w:tc>
          <w:tcPr>
            <w:tcW w:w="2244" w:type="dxa"/>
            <w:shd w:val="clear" w:color="auto" w:fill="auto"/>
            <w:vAlign w:val="top"/>
          </w:tcPr>
          <w:p w14:paraId="41C1B8A5">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水量与计费术语</w:t>
            </w:r>
          </w:p>
        </w:tc>
        <w:tc>
          <w:tcPr>
            <w:tcW w:w="2137" w:type="dxa"/>
            <w:shd w:val="clear" w:color="auto" w:fill="auto"/>
            <w:vAlign w:val="top"/>
          </w:tcPr>
          <w:p w14:paraId="05465E4A">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调整水量</w:t>
            </w:r>
          </w:p>
        </w:tc>
        <w:tc>
          <w:tcPr>
            <w:tcW w:w="3862" w:type="dxa"/>
            <w:shd w:val="clear" w:color="auto" w:fill="auto"/>
            <w:vAlign w:val="top"/>
          </w:tcPr>
          <w:p w14:paraId="4602B0B7">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优惠水量+减免水量+抄表（录入）误差</w:t>
            </w:r>
          </w:p>
        </w:tc>
      </w:tr>
      <w:tr w14:paraId="4599A1E0">
        <w:trPr>
          <w:jc w:val="center"/>
        </w:trPr>
        <w:tc>
          <w:tcPr>
            <w:tcW w:w="2244" w:type="dxa"/>
            <w:shd w:val="clear" w:color="auto" w:fill="auto"/>
            <w:vAlign w:val="top"/>
          </w:tcPr>
          <w:p w14:paraId="02D2AF76">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水量与计费术语</w:t>
            </w:r>
          </w:p>
        </w:tc>
        <w:tc>
          <w:tcPr>
            <w:tcW w:w="2137" w:type="dxa"/>
            <w:shd w:val="clear" w:color="auto" w:fill="auto"/>
            <w:vAlign w:val="top"/>
          </w:tcPr>
          <w:p w14:paraId="50550664">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当期应收水费</w:t>
            </w:r>
          </w:p>
        </w:tc>
        <w:tc>
          <w:tcPr>
            <w:tcW w:w="3862" w:type="dxa"/>
            <w:shd w:val="clear" w:color="auto" w:fill="auto"/>
            <w:vAlign w:val="top"/>
          </w:tcPr>
          <w:p w14:paraId="4659C4FB">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当期售水量乘以不同类别的水价（到户价）所得的金额</w:t>
            </w:r>
          </w:p>
        </w:tc>
      </w:tr>
      <w:tr w14:paraId="5756A732">
        <w:trPr>
          <w:jc w:val="center"/>
        </w:trPr>
        <w:tc>
          <w:tcPr>
            <w:tcW w:w="2244" w:type="dxa"/>
            <w:shd w:val="clear" w:color="auto" w:fill="auto"/>
            <w:vAlign w:val="top"/>
          </w:tcPr>
          <w:p w14:paraId="7DF6257C">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水量与计费术语</w:t>
            </w:r>
          </w:p>
        </w:tc>
        <w:tc>
          <w:tcPr>
            <w:tcW w:w="2137" w:type="dxa"/>
            <w:shd w:val="clear" w:color="auto" w:fill="auto"/>
            <w:vAlign w:val="top"/>
          </w:tcPr>
          <w:p w14:paraId="72C779BB">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当期实收水费</w:t>
            </w:r>
          </w:p>
        </w:tc>
        <w:tc>
          <w:tcPr>
            <w:tcW w:w="3862" w:type="dxa"/>
            <w:shd w:val="clear" w:color="auto" w:fill="auto"/>
            <w:vAlign w:val="top"/>
          </w:tcPr>
          <w:p w14:paraId="5F1A9FB5">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实收当期水费和实收历史欠费</w:t>
            </w:r>
          </w:p>
        </w:tc>
      </w:tr>
      <w:tr w14:paraId="13A79040">
        <w:trPr>
          <w:jc w:val="center"/>
        </w:trPr>
        <w:tc>
          <w:tcPr>
            <w:tcW w:w="2244" w:type="dxa"/>
            <w:shd w:val="clear" w:color="auto" w:fill="auto"/>
            <w:vAlign w:val="top"/>
          </w:tcPr>
          <w:p w14:paraId="10341AD9">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水量与计费术语</w:t>
            </w:r>
          </w:p>
        </w:tc>
        <w:tc>
          <w:tcPr>
            <w:tcW w:w="2137" w:type="dxa"/>
            <w:shd w:val="clear" w:color="auto" w:fill="auto"/>
            <w:vAlign w:val="top"/>
          </w:tcPr>
          <w:p w14:paraId="0FC6B08E">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当期欠费</w:t>
            </w:r>
          </w:p>
        </w:tc>
        <w:tc>
          <w:tcPr>
            <w:tcW w:w="3862" w:type="dxa"/>
            <w:shd w:val="clear" w:color="auto" w:fill="auto"/>
            <w:vAlign w:val="top"/>
          </w:tcPr>
          <w:p w14:paraId="0663BBAE">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当期内未到账的当期应收水费</w:t>
            </w:r>
          </w:p>
        </w:tc>
      </w:tr>
      <w:tr w14:paraId="47AE465C">
        <w:trPr>
          <w:jc w:val="center"/>
        </w:trPr>
        <w:tc>
          <w:tcPr>
            <w:tcW w:w="2244" w:type="dxa"/>
            <w:shd w:val="clear" w:color="auto" w:fill="auto"/>
            <w:vAlign w:val="top"/>
          </w:tcPr>
          <w:p w14:paraId="23A3EB0F">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水量与计费术语</w:t>
            </w:r>
          </w:p>
        </w:tc>
        <w:tc>
          <w:tcPr>
            <w:tcW w:w="2137" w:type="dxa"/>
            <w:shd w:val="clear" w:color="auto" w:fill="auto"/>
            <w:vAlign w:val="top"/>
          </w:tcPr>
          <w:p w14:paraId="5DE2ECFB">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历史欠费</w:t>
            </w:r>
          </w:p>
        </w:tc>
        <w:tc>
          <w:tcPr>
            <w:tcW w:w="3862" w:type="dxa"/>
            <w:shd w:val="clear" w:color="auto" w:fill="auto"/>
            <w:vAlign w:val="top"/>
          </w:tcPr>
          <w:p w14:paraId="5E73CFE0">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当期前未到账的应收水费</w:t>
            </w:r>
          </w:p>
        </w:tc>
      </w:tr>
      <w:tr w14:paraId="594CD12F">
        <w:trPr>
          <w:jc w:val="center"/>
        </w:trPr>
        <w:tc>
          <w:tcPr>
            <w:tcW w:w="2244" w:type="dxa"/>
            <w:shd w:val="clear" w:color="auto" w:fill="auto"/>
            <w:vAlign w:val="top"/>
          </w:tcPr>
          <w:p w14:paraId="68F4517F">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业务指标术语</w:t>
            </w:r>
          </w:p>
        </w:tc>
        <w:tc>
          <w:tcPr>
            <w:tcW w:w="2137" w:type="dxa"/>
            <w:shd w:val="clear" w:color="auto" w:fill="auto"/>
            <w:vAlign w:val="top"/>
          </w:tcPr>
          <w:p w14:paraId="4375D927">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当期水费回收率</w:t>
            </w:r>
          </w:p>
        </w:tc>
        <w:tc>
          <w:tcPr>
            <w:tcW w:w="3862" w:type="dxa"/>
            <w:shd w:val="clear" w:color="auto" w:fill="auto"/>
            <w:vAlign w:val="top"/>
          </w:tcPr>
          <w:p w14:paraId="37FF4EB1">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(当期应收水费－当期未收水费)/当期应收水费×100%</w:t>
            </w:r>
          </w:p>
        </w:tc>
      </w:tr>
      <w:tr w14:paraId="261BD1E4">
        <w:trPr>
          <w:jc w:val="center"/>
        </w:trPr>
        <w:tc>
          <w:tcPr>
            <w:tcW w:w="2244" w:type="dxa"/>
            <w:shd w:val="clear" w:color="auto" w:fill="auto"/>
            <w:vAlign w:val="top"/>
          </w:tcPr>
          <w:p w14:paraId="7B91A9B8">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业务指标术语</w:t>
            </w:r>
          </w:p>
        </w:tc>
        <w:tc>
          <w:tcPr>
            <w:tcW w:w="2137" w:type="dxa"/>
            <w:shd w:val="clear" w:color="auto" w:fill="auto"/>
            <w:vAlign w:val="top"/>
          </w:tcPr>
          <w:p w14:paraId="4E93BF8F">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历史欠费回收率</w:t>
            </w:r>
          </w:p>
        </w:tc>
        <w:tc>
          <w:tcPr>
            <w:tcW w:w="3862" w:type="dxa"/>
            <w:shd w:val="clear" w:color="auto" w:fill="auto"/>
            <w:vAlign w:val="top"/>
          </w:tcPr>
          <w:p w14:paraId="7086793F">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实收历史欠费/应收历史欠费×100%</w:t>
            </w:r>
          </w:p>
        </w:tc>
      </w:tr>
      <w:tr w14:paraId="7040063C">
        <w:trPr>
          <w:jc w:val="center"/>
        </w:trPr>
        <w:tc>
          <w:tcPr>
            <w:tcW w:w="2244" w:type="dxa"/>
            <w:shd w:val="clear" w:color="auto" w:fill="auto"/>
            <w:vAlign w:val="top"/>
          </w:tcPr>
          <w:p w14:paraId="2326AAAF">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业务指标术语</w:t>
            </w:r>
          </w:p>
        </w:tc>
        <w:tc>
          <w:tcPr>
            <w:tcW w:w="2137" w:type="dxa"/>
            <w:shd w:val="clear" w:color="auto" w:fill="auto"/>
            <w:vAlign w:val="top"/>
          </w:tcPr>
          <w:p w14:paraId="0BFE7FF1">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水表抄见率</w:t>
            </w:r>
          </w:p>
        </w:tc>
        <w:tc>
          <w:tcPr>
            <w:tcW w:w="3862" w:type="dxa"/>
            <w:shd w:val="clear" w:color="auto" w:fill="auto"/>
            <w:vAlign w:val="top"/>
          </w:tcPr>
          <w:p w14:paraId="63CEAF8C">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(当期应抄用户数-当期估表用户数)/当期应抄用户数×100%</w:t>
            </w:r>
          </w:p>
        </w:tc>
      </w:tr>
      <w:tr w14:paraId="592B48E0">
        <w:trPr>
          <w:jc w:val="center"/>
        </w:trPr>
        <w:tc>
          <w:tcPr>
            <w:tcW w:w="2244" w:type="dxa"/>
            <w:shd w:val="clear" w:color="auto" w:fill="auto"/>
            <w:vAlign w:val="top"/>
          </w:tcPr>
          <w:p w14:paraId="29647851">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业务指标术语</w:t>
            </w:r>
          </w:p>
        </w:tc>
        <w:tc>
          <w:tcPr>
            <w:tcW w:w="2137" w:type="dxa"/>
            <w:shd w:val="clear" w:color="auto" w:fill="auto"/>
            <w:vAlign w:val="top"/>
          </w:tcPr>
          <w:p w14:paraId="4F1D3005">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同比</w:t>
            </w:r>
          </w:p>
        </w:tc>
        <w:tc>
          <w:tcPr>
            <w:tcW w:w="3862" w:type="dxa"/>
            <w:shd w:val="clear" w:color="auto" w:fill="auto"/>
            <w:vAlign w:val="top"/>
          </w:tcPr>
          <w:p w14:paraId="1C91267C">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(本期-上年同期)/上年同期×100%</w:t>
            </w:r>
          </w:p>
        </w:tc>
      </w:tr>
      <w:tr w14:paraId="7EDD38A7">
        <w:trPr>
          <w:jc w:val="center"/>
        </w:trPr>
        <w:tc>
          <w:tcPr>
            <w:tcW w:w="2244" w:type="dxa"/>
            <w:shd w:val="clear" w:color="auto" w:fill="auto"/>
            <w:vAlign w:val="top"/>
          </w:tcPr>
          <w:p w14:paraId="66E503CD">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业务指标术语</w:t>
            </w:r>
          </w:p>
        </w:tc>
        <w:tc>
          <w:tcPr>
            <w:tcW w:w="2137" w:type="dxa"/>
            <w:shd w:val="clear" w:color="auto" w:fill="auto"/>
            <w:vAlign w:val="top"/>
          </w:tcPr>
          <w:p w14:paraId="6C47265C">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环比</w:t>
            </w:r>
          </w:p>
        </w:tc>
        <w:tc>
          <w:tcPr>
            <w:tcW w:w="3862" w:type="dxa"/>
            <w:shd w:val="clear" w:color="auto" w:fill="auto"/>
            <w:vAlign w:val="top"/>
          </w:tcPr>
          <w:p w14:paraId="3284B57A">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(本期-上期)/上期×100%</w:t>
            </w:r>
          </w:p>
        </w:tc>
      </w:tr>
      <w:tr w14:paraId="1FF7D031">
        <w:trPr>
          <w:jc w:val="center"/>
        </w:trPr>
        <w:tc>
          <w:tcPr>
            <w:tcW w:w="2244" w:type="dxa"/>
            <w:shd w:val="clear" w:color="auto" w:fill="auto"/>
            <w:vAlign w:val="top"/>
          </w:tcPr>
          <w:p w14:paraId="39317F47">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抄表与收费术语</w:t>
            </w:r>
          </w:p>
        </w:tc>
        <w:tc>
          <w:tcPr>
            <w:tcW w:w="2137" w:type="dxa"/>
            <w:shd w:val="clear" w:color="auto" w:fill="auto"/>
            <w:vAlign w:val="top"/>
          </w:tcPr>
          <w:p w14:paraId="73BAC16B">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人工抄表</w:t>
            </w:r>
          </w:p>
        </w:tc>
        <w:tc>
          <w:tcPr>
            <w:tcW w:w="3862" w:type="dxa"/>
            <w:shd w:val="clear" w:color="auto" w:fill="auto"/>
            <w:vAlign w:val="top"/>
          </w:tcPr>
          <w:p w14:paraId="217CC6C4">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抄表员按照册本顺序，通过人工方式上门抄录水表示数的方式。</w:t>
            </w:r>
          </w:p>
        </w:tc>
      </w:tr>
      <w:tr w14:paraId="5CBBA417">
        <w:trPr>
          <w:jc w:val="center"/>
        </w:trPr>
        <w:tc>
          <w:tcPr>
            <w:tcW w:w="2244" w:type="dxa"/>
            <w:shd w:val="clear" w:color="auto" w:fill="auto"/>
            <w:vAlign w:val="top"/>
          </w:tcPr>
          <w:p w14:paraId="0DDE3F7D">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抄表与收费术语</w:t>
            </w:r>
          </w:p>
        </w:tc>
        <w:tc>
          <w:tcPr>
            <w:tcW w:w="2137" w:type="dxa"/>
            <w:shd w:val="clear" w:color="auto" w:fill="auto"/>
            <w:vAlign w:val="top"/>
          </w:tcPr>
          <w:p w14:paraId="054E03C4">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远传抄表</w:t>
            </w:r>
          </w:p>
        </w:tc>
        <w:tc>
          <w:tcPr>
            <w:tcW w:w="3862" w:type="dxa"/>
            <w:shd w:val="clear" w:color="auto" w:fill="auto"/>
            <w:vAlign w:val="top"/>
          </w:tcPr>
          <w:p w14:paraId="2C8572E0">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通过自动抄表系统，远程采集水表数据的方式。</w:t>
            </w:r>
          </w:p>
        </w:tc>
      </w:tr>
      <w:tr w14:paraId="226BE4AC">
        <w:trPr>
          <w:jc w:val="center"/>
        </w:trPr>
        <w:tc>
          <w:tcPr>
            <w:tcW w:w="2244" w:type="dxa"/>
            <w:shd w:val="clear" w:color="auto" w:fill="auto"/>
            <w:vAlign w:val="top"/>
          </w:tcPr>
          <w:p w14:paraId="1118F27D">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抄表与收费术语</w:t>
            </w:r>
          </w:p>
        </w:tc>
        <w:tc>
          <w:tcPr>
            <w:tcW w:w="2137" w:type="dxa"/>
            <w:shd w:val="clear" w:color="auto" w:fill="auto"/>
            <w:vAlign w:val="top"/>
          </w:tcPr>
          <w:p w14:paraId="5311FB30">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自报抄表</w:t>
            </w:r>
          </w:p>
        </w:tc>
        <w:tc>
          <w:tcPr>
            <w:tcW w:w="3862" w:type="dxa"/>
            <w:shd w:val="clear" w:color="auto" w:fill="auto"/>
            <w:vAlign w:val="top"/>
          </w:tcPr>
          <w:p w14:paraId="6F50588E">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由用户自行报送水表示数的抄表方式。</w:t>
            </w:r>
          </w:p>
        </w:tc>
      </w:tr>
      <w:tr w14:paraId="008EC1C6">
        <w:trPr>
          <w:jc w:val="center"/>
        </w:trPr>
        <w:tc>
          <w:tcPr>
            <w:tcW w:w="2244" w:type="dxa"/>
            <w:shd w:val="clear" w:color="auto" w:fill="auto"/>
            <w:vAlign w:val="top"/>
          </w:tcPr>
          <w:p w14:paraId="1CAFCE9F">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抄表与收费术语</w:t>
            </w:r>
          </w:p>
        </w:tc>
        <w:tc>
          <w:tcPr>
            <w:tcW w:w="2137" w:type="dxa"/>
            <w:shd w:val="clear" w:color="auto" w:fill="auto"/>
            <w:vAlign w:val="top"/>
          </w:tcPr>
          <w:p w14:paraId="6577108C">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估表</w:t>
            </w:r>
          </w:p>
        </w:tc>
        <w:tc>
          <w:tcPr>
            <w:tcW w:w="3862" w:type="dxa"/>
            <w:shd w:val="clear" w:color="auto" w:fill="auto"/>
            <w:vAlign w:val="top"/>
          </w:tcPr>
          <w:p w14:paraId="486C8CBB">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当无法获取实际水表示数时，系统根据历史用水量估算的当期用水量。</w:t>
            </w:r>
          </w:p>
        </w:tc>
      </w:tr>
      <w:tr w14:paraId="6BF70073">
        <w:trPr>
          <w:jc w:val="center"/>
        </w:trPr>
        <w:tc>
          <w:tcPr>
            <w:tcW w:w="2244" w:type="dxa"/>
            <w:shd w:val="clear" w:color="auto" w:fill="auto"/>
            <w:vAlign w:val="top"/>
          </w:tcPr>
          <w:p w14:paraId="0A691A3E">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抄表与收费术语</w:t>
            </w:r>
          </w:p>
        </w:tc>
        <w:tc>
          <w:tcPr>
            <w:tcW w:w="2137" w:type="dxa"/>
            <w:shd w:val="clear" w:color="auto" w:fill="auto"/>
            <w:vAlign w:val="top"/>
          </w:tcPr>
          <w:p w14:paraId="035013C4">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复核抄表</w:t>
            </w:r>
          </w:p>
        </w:tc>
        <w:tc>
          <w:tcPr>
            <w:tcW w:w="3862" w:type="dxa"/>
            <w:shd w:val="clear" w:color="auto" w:fill="auto"/>
            <w:vAlign w:val="top"/>
          </w:tcPr>
          <w:p w14:paraId="14A315A7">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对抄表数据进行复核确认的过程，通常针对异常数据或抽查。</w:t>
            </w:r>
          </w:p>
        </w:tc>
      </w:tr>
      <w:tr w14:paraId="25A821AE">
        <w:trPr>
          <w:jc w:val="center"/>
        </w:trPr>
        <w:tc>
          <w:tcPr>
            <w:tcW w:w="2244" w:type="dxa"/>
            <w:shd w:val="clear" w:color="auto" w:fill="auto"/>
            <w:vAlign w:val="top"/>
          </w:tcPr>
          <w:p w14:paraId="17284586">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抄表与收费术语</w:t>
            </w:r>
          </w:p>
        </w:tc>
        <w:tc>
          <w:tcPr>
            <w:tcW w:w="2137" w:type="dxa"/>
            <w:shd w:val="clear" w:color="auto" w:fill="auto"/>
            <w:vAlign w:val="top"/>
          </w:tcPr>
          <w:p w14:paraId="66FC4C0E">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开账</w:t>
            </w:r>
          </w:p>
        </w:tc>
        <w:tc>
          <w:tcPr>
            <w:tcW w:w="3862" w:type="dxa"/>
            <w:shd w:val="clear" w:color="auto" w:fill="auto"/>
            <w:vAlign w:val="top"/>
          </w:tcPr>
          <w:p w14:paraId="7511B7C4">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根据抄表数据，生成用户水费账单的过程。</w:t>
            </w:r>
          </w:p>
        </w:tc>
      </w:tr>
      <w:tr w14:paraId="13327F4D">
        <w:trPr>
          <w:jc w:val="center"/>
        </w:trPr>
        <w:tc>
          <w:tcPr>
            <w:tcW w:w="2244" w:type="dxa"/>
            <w:shd w:val="clear" w:color="auto" w:fill="auto"/>
            <w:vAlign w:val="top"/>
          </w:tcPr>
          <w:p w14:paraId="2E67905B">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抄表与收费术语</w:t>
            </w:r>
          </w:p>
        </w:tc>
        <w:tc>
          <w:tcPr>
            <w:tcW w:w="2137" w:type="dxa"/>
            <w:shd w:val="clear" w:color="auto" w:fill="auto"/>
            <w:vAlign w:val="top"/>
          </w:tcPr>
          <w:p w14:paraId="112E3CE8">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销账</w:t>
            </w:r>
          </w:p>
        </w:tc>
        <w:tc>
          <w:tcPr>
            <w:tcW w:w="3862" w:type="dxa"/>
            <w:shd w:val="clear" w:color="auto" w:fill="auto"/>
            <w:vAlign w:val="top"/>
          </w:tcPr>
          <w:p w14:paraId="69677899">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用户缴纳水费后，系统将应收水费标记为已收的过程。</w:t>
            </w:r>
          </w:p>
        </w:tc>
      </w:tr>
      <w:tr w14:paraId="667BDCDC">
        <w:trPr>
          <w:jc w:val="center"/>
        </w:trPr>
        <w:tc>
          <w:tcPr>
            <w:tcW w:w="2244" w:type="dxa"/>
            <w:shd w:val="clear" w:color="auto" w:fill="auto"/>
            <w:vAlign w:val="top"/>
          </w:tcPr>
          <w:p w14:paraId="47708083">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表务与报装术语</w:t>
            </w:r>
          </w:p>
        </w:tc>
        <w:tc>
          <w:tcPr>
            <w:tcW w:w="2137" w:type="dxa"/>
            <w:shd w:val="clear" w:color="auto" w:fill="auto"/>
            <w:vAlign w:val="top"/>
          </w:tcPr>
          <w:p w14:paraId="01E0F280">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表务工单</w:t>
            </w:r>
          </w:p>
        </w:tc>
        <w:tc>
          <w:tcPr>
            <w:tcW w:w="3862" w:type="dxa"/>
            <w:shd w:val="clear" w:color="auto" w:fill="auto"/>
            <w:vAlign w:val="top"/>
          </w:tcPr>
          <w:p w14:paraId="18F51826">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针对水表安装、维修、更换等业务的工作单据。</w:t>
            </w:r>
          </w:p>
        </w:tc>
      </w:tr>
      <w:tr w14:paraId="6EDC9D16">
        <w:trPr>
          <w:jc w:val="center"/>
        </w:trPr>
        <w:tc>
          <w:tcPr>
            <w:tcW w:w="2244" w:type="dxa"/>
            <w:shd w:val="clear" w:color="auto" w:fill="auto"/>
            <w:vAlign w:val="top"/>
          </w:tcPr>
          <w:p w14:paraId="75242961">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表务与报装术语</w:t>
            </w:r>
          </w:p>
        </w:tc>
        <w:tc>
          <w:tcPr>
            <w:tcW w:w="2137" w:type="dxa"/>
            <w:shd w:val="clear" w:color="auto" w:fill="auto"/>
            <w:vAlign w:val="top"/>
          </w:tcPr>
          <w:p w14:paraId="1E9C828B">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换表</w:t>
            </w:r>
          </w:p>
        </w:tc>
        <w:tc>
          <w:tcPr>
            <w:tcW w:w="3862" w:type="dxa"/>
            <w:shd w:val="clear" w:color="auto" w:fill="auto"/>
            <w:vAlign w:val="top"/>
          </w:tcPr>
          <w:p w14:paraId="140F38C3">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将用户的旧水表更换为新水表的业务流程。</w:t>
            </w:r>
          </w:p>
        </w:tc>
      </w:tr>
      <w:tr w14:paraId="6ADA0FDF">
        <w:trPr>
          <w:jc w:val="center"/>
        </w:trPr>
        <w:tc>
          <w:tcPr>
            <w:tcW w:w="2244" w:type="dxa"/>
            <w:shd w:val="clear" w:color="auto" w:fill="auto"/>
            <w:vAlign w:val="top"/>
          </w:tcPr>
          <w:p w14:paraId="59C2C1B5">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表务与报装术语</w:t>
            </w:r>
          </w:p>
        </w:tc>
        <w:tc>
          <w:tcPr>
            <w:tcW w:w="2137" w:type="dxa"/>
            <w:shd w:val="clear" w:color="auto" w:fill="auto"/>
            <w:vAlign w:val="top"/>
          </w:tcPr>
          <w:p w14:paraId="31900886">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移表</w:t>
            </w:r>
          </w:p>
        </w:tc>
        <w:tc>
          <w:tcPr>
            <w:tcW w:w="3862" w:type="dxa"/>
            <w:shd w:val="clear" w:color="auto" w:fill="auto"/>
            <w:vAlign w:val="top"/>
          </w:tcPr>
          <w:p w14:paraId="54B5AD74">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改变水表安装位置的业务流程。</w:t>
            </w:r>
          </w:p>
        </w:tc>
      </w:tr>
      <w:tr w14:paraId="6ED82F14">
        <w:trPr>
          <w:jc w:val="center"/>
        </w:trPr>
        <w:tc>
          <w:tcPr>
            <w:tcW w:w="2244" w:type="dxa"/>
            <w:shd w:val="clear" w:color="auto" w:fill="auto"/>
            <w:vAlign w:val="top"/>
          </w:tcPr>
          <w:p w14:paraId="3F18302B">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表务与报装术语</w:t>
            </w:r>
          </w:p>
        </w:tc>
        <w:tc>
          <w:tcPr>
            <w:tcW w:w="2137" w:type="dxa"/>
            <w:shd w:val="clear" w:color="auto" w:fill="auto"/>
            <w:vAlign w:val="top"/>
          </w:tcPr>
          <w:p w14:paraId="05C21CCC">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校表</w:t>
            </w:r>
          </w:p>
        </w:tc>
        <w:tc>
          <w:tcPr>
            <w:tcW w:w="3862" w:type="dxa"/>
            <w:shd w:val="clear" w:color="auto" w:fill="auto"/>
            <w:vAlign w:val="top"/>
          </w:tcPr>
          <w:p w14:paraId="14BFCA67">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检测并校准水表精度的业务流程。</w:t>
            </w:r>
          </w:p>
        </w:tc>
      </w:tr>
      <w:tr w14:paraId="7FC50797">
        <w:trPr>
          <w:jc w:val="center"/>
        </w:trPr>
        <w:tc>
          <w:tcPr>
            <w:tcW w:w="2244" w:type="dxa"/>
            <w:shd w:val="clear" w:color="auto" w:fill="auto"/>
            <w:vAlign w:val="top"/>
          </w:tcPr>
          <w:p w14:paraId="6F0CF623">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表务与报装术语</w:t>
            </w:r>
          </w:p>
        </w:tc>
        <w:tc>
          <w:tcPr>
            <w:tcW w:w="2137" w:type="dxa"/>
            <w:shd w:val="clear" w:color="auto" w:fill="auto"/>
            <w:vAlign w:val="top"/>
          </w:tcPr>
          <w:p w14:paraId="4F0C9B63">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报装</w:t>
            </w:r>
          </w:p>
        </w:tc>
        <w:tc>
          <w:tcPr>
            <w:tcW w:w="3862" w:type="dxa"/>
            <w:shd w:val="clear" w:color="auto" w:fill="auto"/>
            <w:vAlign w:val="top"/>
          </w:tcPr>
          <w:p w14:paraId="23E8841D">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用户申请新装水表，办理用水手续的业务流程。</w:t>
            </w:r>
          </w:p>
        </w:tc>
      </w:tr>
      <w:tr w14:paraId="192069A6">
        <w:trPr>
          <w:jc w:val="center"/>
        </w:trPr>
        <w:tc>
          <w:tcPr>
            <w:tcW w:w="2244" w:type="dxa"/>
            <w:shd w:val="clear" w:color="auto" w:fill="auto"/>
            <w:vAlign w:val="top"/>
          </w:tcPr>
          <w:p w14:paraId="313B4177">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表务与报装术语</w:t>
            </w:r>
          </w:p>
        </w:tc>
        <w:tc>
          <w:tcPr>
            <w:tcW w:w="2137" w:type="dxa"/>
            <w:shd w:val="clear" w:color="auto" w:fill="auto"/>
            <w:vAlign w:val="top"/>
          </w:tcPr>
          <w:p w14:paraId="33413FEE">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一户一表</w:t>
            </w:r>
          </w:p>
        </w:tc>
        <w:tc>
          <w:tcPr>
            <w:tcW w:w="3862" w:type="dxa"/>
            <w:shd w:val="clear" w:color="auto" w:fill="auto"/>
            <w:vAlign w:val="top"/>
          </w:tcPr>
          <w:p w14:paraId="2FF8136D">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每户用户单独安装水表计量用水的管理模式。</w:t>
            </w:r>
          </w:p>
        </w:tc>
      </w:tr>
      <w:tr w14:paraId="470ECDFB">
        <w:trPr>
          <w:jc w:val="center"/>
        </w:trPr>
        <w:tc>
          <w:tcPr>
            <w:tcW w:w="2244" w:type="dxa"/>
            <w:shd w:val="clear" w:color="auto" w:fill="auto"/>
            <w:vAlign w:val="top"/>
          </w:tcPr>
          <w:p w14:paraId="19FDD6F0">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表务与报装术语</w:t>
            </w:r>
          </w:p>
        </w:tc>
        <w:tc>
          <w:tcPr>
            <w:tcW w:w="2137" w:type="dxa"/>
            <w:shd w:val="clear" w:color="auto" w:fill="auto"/>
            <w:vAlign w:val="top"/>
          </w:tcPr>
          <w:p w14:paraId="19AA0890">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总分表</w:t>
            </w:r>
          </w:p>
        </w:tc>
        <w:tc>
          <w:tcPr>
            <w:tcW w:w="3862" w:type="dxa"/>
            <w:shd w:val="clear" w:color="auto" w:fill="auto"/>
            <w:vAlign w:val="top"/>
          </w:tcPr>
          <w:p w14:paraId="3D933C63">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一个总表下面有多个分表的水表安装方式，通常用于小区或企业等集中用水场所。</w:t>
            </w:r>
          </w:p>
        </w:tc>
      </w:tr>
      <w:tr w14:paraId="5C416EF6">
        <w:trPr>
          <w:jc w:val="center"/>
        </w:trPr>
        <w:tc>
          <w:tcPr>
            <w:tcW w:w="2244" w:type="dxa"/>
            <w:shd w:val="clear" w:color="auto" w:fill="auto"/>
            <w:vAlign w:val="top"/>
          </w:tcPr>
          <w:p w14:paraId="5EE5FBDC">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账务与支付术语</w:t>
            </w:r>
          </w:p>
        </w:tc>
        <w:tc>
          <w:tcPr>
            <w:tcW w:w="2137" w:type="dxa"/>
            <w:shd w:val="clear" w:color="auto" w:fill="auto"/>
            <w:vAlign w:val="top"/>
          </w:tcPr>
          <w:p w14:paraId="4681E56B">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预付款</w:t>
            </w:r>
          </w:p>
        </w:tc>
        <w:tc>
          <w:tcPr>
            <w:tcW w:w="3862" w:type="dxa"/>
            <w:shd w:val="clear" w:color="auto" w:fill="auto"/>
            <w:vAlign w:val="top"/>
          </w:tcPr>
          <w:p w14:paraId="0DDEED17">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用户预先缴纳的水费，存入用户账户，用于抵扣后续水费的款项。</w:t>
            </w:r>
          </w:p>
        </w:tc>
      </w:tr>
      <w:tr w14:paraId="49F51A3E">
        <w:trPr>
          <w:jc w:val="center"/>
        </w:trPr>
        <w:tc>
          <w:tcPr>
            <w:tcW w:w="2244" w:type="dxa"/>
            <w:shd w:val="clear" w:color="auto" w:fill="auto"/>
            <w:vAlign w:val="top"/>
          </w:tcPr>
          <w:p w14:paraId="3F5B8381">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账务与支付术语</w:t>
            </w:r>
          </w:p>
        </w:tc>
        <w:tc>
          <w:tcPr>
            <w:tcW w:w="2137" w:type="dxa"/>
            <w:shd w:val="clear" w:color="auto" w:fill="auto"/>
            <w:vAlign w:val="top"/>
          </w:tcPr>
          <w:p w14:paraId="0F0F1120">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银行托收</w:t>
            </w:r>
          </w:p>
        </w:tc>
        <w:tc>
          <w:tcPr>
            <w:tcW w:w="3862" w:type="dxa"/>
            <w:shd w:val="clear" w:color="auto" w:fill="auto"/>
            <w:vAlign w:val="top"/>
          </w:tcPr>
          <w:p w14:paraId="1591D8DD">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通过银行批量自动从用户账户中扣除水费的方式。</w:t>
            </w:r>
          </w:p>
        </w:tc>
      </w:tr>
      <w:tr w14:paraId="71A06DF5">
        <w:trPr>
          <w:jc w:val="center"/>
        </w:trPr>
        <w:tc>
          <w:tcPr>
            <w:tcW w:w="2244" w:type="dxa"/>
            <w:shd w:val="clear" w:color="auto" w:fill="auto"/>
            <w:vAlign w:val="top"/>
          </w:tcPr>
          <w:p w14:paraId="3EABB9A2">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账务与支付术语</w:t>
            </w:r>
          </w:p>
        </w:tc>
        <w:tc>
          <w:tcPr>
            <w:tcW w:w="2137" w:type="dxa"/>
            <w:shd w:val="clear" w:color="auto" w:fill="auto"/>
            <w:vAlign w:val="top"/>
          </w:tcPr>
          <w:p w14:paraId="0B9F0DBD">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违约金</w:t>
            </w:r>
          </w:p>
        </w:tc>
        <w:tc>
          <w:tcPr>
            <w:tcW w:w="3862" w:type="dxa"/>
            <w:shd w:val="clear" w:color="auto" w:fill="auto"/>
            <w:vAlign w:val="top"/>
          </w:tcPr>
          <w:p w14:paraId="2D9D3146">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用户逾期未缴纳水费，按规定收取的滞纳金。</w:t>
            </w:r>
          </w:p>
        </w:tc>
      </w:tr>
      <w:tr w14:paraId="2E9C5848">
        <w:trPr>
          <w:jc w:val="center"/>
        </w:trPr>
        <w:tc>
          <w:tcPr>
            <w:tcW w:w="2244" w:type="dxa"/>
            <w:shd w:val="clear" w:color="auto" w:fill="auto"/>
            <w:vAlign w:val="top"/>
          </w:tcPr>
          <w:p w14:paraId="31D4EFE3">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账务与支付术语</w:t>
            </w:r>
          </w:p>
        </w:tc>
        <w:tc>
          <w:tcPr>
            <w:tcW w:w="2137" w:type="dxa"/>
            <w:shd w:val="clear" w:color="auto" w:fill="auto"/>
            <w:vAlign w:val="top"/>
          </w:tcPr>
          <w:p w14:paraId="3DF1D38D">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退款</w:t>
            </w:r>
          </w:p>
        </w:tc>
        <w:tc>
          <w:tcPr>
            <w:tcW w:w="3862" w:type="dxa"/>
            <w:shd w:val="clear" w:color="auto" w:fill="auto"/>
            <w:vAlign w:val="top"/>
          </w:tcPr>
          <w:p w14:paraId="3AA5CF9B">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将用户多缴或预付的水费退还给用户的业务流程。</w:t>
            </w:r>
          </w:p>
        </w:tc>
      </w:tr>
      <w:tr w14:paraId="2BCEE154">
        <w:trPr>
          <w:jc w:val="center"/>
        </w:trPr>
        <w:tc>
          <w:tcPr>
            <w:tcW w:w="2244" w:type="dxa"/>
            <w:shd w:val="clear" w:color="auto" w:fill="auto"/>
            <w:vAlign w:val="top"/>
          </w:tcPr>
          <w:p w14:paraId="3387DFD5">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账务与支付术语</w:t>
            </w:r>
          </w:p>
        </w:tc>
        <w:tc>
          <w:tcPr>
            <w:tcW w:w="2137" w:type="dxa"/>
            <w:shd w:val="clear" w:color="auto" w:fill="auto"/>
            <w:vAlign w:val="top"/>
          </w:tcPr>
          <w:p w14:paraId="6E95C39E">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调价</w:t>
            </w:r>
          </w:p>
        </w:tc>
        <w:tc>
          <w:tcPr>
            <w:tcW w:w="3862" w:type="dxa"/>
            <w:shd w:val="clear" w:color="auto" w:fill="auto"/>
            <w:vAlign w:val="top"/>
          </w:tcPr>
          <w:p w14:paraId="7101230F">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水价调整的业务流程，包括调价申请、审批、执行等环节。</w:t>
            </w:r>
          </w:p>
        </w:tc>
      </w:tr>
      <w:tr w14:paraId="01F9DDD0">
        <w:trPr>
          <w:jc w:val="center"/>
        </w:trPr>
        <w:tc>
          <w:tcPr>
            <w:tcW w:w="2244" w:type="dxa"/>
            <w:shd w:val="clear" w:color="auto" w:fill="auto"/>
            <w:vAlign w:val="top"/>
          </w:tcPr>
          <w:p w14:paraId="1AD5D19E">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系统管理术语</w:t>
            </w:r>
          </w:p>
        </w:tc>
        <w:tc>
          <w:tcPr>
            <w:tcW w:w="2137" w:type="dxa"/>
            <w:shd w:val="clear" w:color="auto" w:fill="auto"/>
            <w:vAlign w:val="top"/>
          </w:tcPr>
          <w:p w14:paraId="3CA629D2">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多租户</w:t>
            </w:r>
          </w:p>
        </w:tc>
        <w:tc>
          <w:tcPr>
            <w:tcW w:w="3862" w:type="dxa"/>
            <w:shd w:val="clear" w:color="auto" w:fill="auto"/>
            <w:vAlign w:val="top"/>
          </w:tcPr>
          <w:p w14:paraId="26C86CBF">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系统支持多个组织机构独立运营、数据隔离的架构模式。</w:t>
            </w:r>
          </w:p>
        </w:tc>
      </w:tr>
      <w:tr w14:paraId="0613D870">
        <w:trPr>
          <w:jc w:val="center"/>
        </w:trPr>
        <w:tc>
          <w:tcPr>
            <w:tcW w:w="2244" w:type="dxa"/>
            <w:shd w:val="clear" w:color="auto" w:fill="auto"/>
            <w:vAlign w:val="top"/>
          </w:tcPr>
          <w:p w14:paraId="0A0A5A3B">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系统管理术语</w:t>
            </w:r>
          </w:p>
        </w:tc>
        <w:tc>
          <w:tcPr>
            <w:tcW w:w="2137" w:type="dxa"/>
            <w:shd w:val="clear" w:color="auto" w:fill="auto"/>
            <w:vAlign w:val="top"/>
          </w:tcPr>
          <w:p w14:paraId="7F2DE1CE">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单点登录</w:t>
            </w:r>
          </w:p>
        </w:tc>
        <w:tc>
          <w:tcPr>
            <w:tcW w:w="3862" w:type="dxa"/>
            <w:shd w:val="clear" w:color="auto" w:fill="auto"/>
            <w:vAlign w:val="top"/>
          </w:tcPr>
          <w:p w14:paraId="2A54FBBE">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用户只需登录一次，就可以访问系统内所有相互信任的应用系统的功能。</w:t>
            </w:r>
          </w:p>
        </w:tc>
      </w:tr>
      <w:tr w14:paraId="643F80AF">
        <w:trPr>
          <w:jc w:val="center"/>
        </w:trPr>
        <w:tc>
          <w:tcPr>
            <w:tcW w:w="2244" w:type="dxa"/>
            <w:shd w:val="clear" w:color="auto" w:fill="auto"/>
            <w:vAlign w:val="top"/>
          </w:tcPr>
          <w:p w14:paraId="26CB9C02">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系统管理术语</w:t>
            </w:r>
          </w:p>
        </w:tc>
        <w:tc>
          <w:tcPr>
            <w:tcW w:w="2137" w:type="dxa"/>
            <w:shd w:val="clear" w:color="auto" w:fill="auto"/>
            <w:vAlign w:val="top"/>
          </w:tcPr>
          <w:p w14:paraId="4EA089C3">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角色权限</w:t>
            </w:r>
          </w:p>
        </w:tc>
        <w:tc>
          <w:tcPr>
            <w:tcW w:w="3862" w:type="dxa"/>
            <w:shd w:val="clear" w:color="auto" w:fill="auto"/>
            <w:vAlign w:val="top"/>
          </w:tcPr>
          <w:p w14:paraId="4ACDC6CA">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基于角色的权限管理模式，通过角色定义不同用户的操作权限。</w:t>
            </w:r>
          </w:p>
        </w:tc>
      </w:tr>
      <w:tr w14:paraId="2F4BB000">
        <w:trPr>
          <w:jc w:val="center"/>
        </w:trPr>
        <w:tc>
          <w:tcPr>
            <w:tcW w:w="2244" w:type="dxa"/>
            <w:shd w:val="clear" w:color="auto" w:fill="auto"/>
            <w:vAlign w:val="top"/>
          </w:tcPr>
          <w:p w14:paraId="1A5E1E0D">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系统管理术语</w:t>
            </w:r>
          </w:p>
        </w:tc>
        <w:tc>
          <w:tcPr>
            <w:tcW w:w="2137" w:type="dxa"/>
            <w:shd w:val="clear" w:color="auto" w:fill="auto"/>
            <w:vAlign w:val="top"/>
          </w:tcPr>
          <w:p w14:paraId="6FA88C3E">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业务参数</w:t>
            </w:r>
          </w:p>
        </w:tc>
        <w:tc>
          <w:tcPr>
            <w:tcW w:w="3862" w:type="dxa"/>
            <w:shd w:val="clear" w:color="auto" w:fill="auto"/>
            <w:vAlign w:val="top"/>
          </w:tcPr>
          <w:p w14:paraId="5ADB9ADE">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系统中各种可配置的参数，用于适应不同业务场景和需求。</w:t>
            </w:r>
          </w:p>
        </w:tc>
      </w:tr>
      <w:tr w14:paraId="0749DA1A">
        <w:trPr>
          <w:jc w:val="center"/>
        </w:trPr>
        <w:tc>
          <w:tcPr>
            <w:tcW w:w="2244" w:type="dxa"/>
            <w:shd w:val="clear" w:color="auto" w:fill="auto"/>
            <w:vAlign w:val="top"/>
          </w:tcPr>
          <w:p w14:paraId="58660AEA">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系统管理术语</w:t>
            </w:r>
          </w:p>
        </w:tc>
        <w:tc>
          <w:tcPr>
            <w:tcW w:w="2137" w:type="dxa"/>
            <w:shd w:val="clear" w:color="auto" w:fill="auto"/>
            <w:vAlign w:val="top"/>
          </w:tcPr>
          <w:p w14:paraId="00254DDF">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水价体系</w:t>
            </w:r>
          </w:p>
        </w:tc>
        <w:tc>
          <w:tcPr>
            <w:tcW w:w="3862" w:type="dxa"/>
            <w:shd w:val="clear" w:color="auto" w:fill="auto"/>
            <w:vAlign w:val="top"/>
          </w:tcPr>
          <w:p w14:paraId="46609969">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水务公司制定的各类用户水价标准体系，可能包含基本水价、阶梯水价等多种形式。</w:t>
            </w:r>
          </w:p>
        </w:tc>
      </w:tr>
      <w:tr w14:paraId="6FF40C74">
        <w:trPr>
          <w:jc w:val="center"/>
        </w:trPr>
        <w:tc>
          <w:tcPr>
            <w:tcW w:w="2244" w:type="dxa"/>
            <w:shd w:val="clear" w:color="auto" w:fill="auto"/>
            <w:vAlign w:val="top"/>
          </w:tcPr>
          <w:p w14:paraId="2BC50AF5">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客户服务术语</w:t>
            </w:r>
          </w:p>
        </w:tc>
        <w:tc>
          <w:tcPr>
            <w:tcW w:w="2137" w:type="dxa"/>
            <w:shd w:val="clear" w:color="auto" w:fill="auto"/>
            <w:vAlign w:val="top"/>
          </w:tcPr>
          <w:p w14:paraId="43AE2E3D">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微网厅</w:t>
            </w:r>
          </w:p>
        </w:tc>
        <w:tc>
          <w:tcPr>
            <w:tcW w:w="3862" w:type="dxa"/>
            <w:shd w:val="clear" w:color="auto" w:fill="auto"/>
            <w:vAlign w:val="top"/>
          </w:tcPr>
          <w:p w14:paraId="22AC7647">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通过微信公众号提供的自助服务平台，用户可查询账单、缴费、查看用水情况等。</w:t>
            </w:r>
          </w:p>
        </w:tc>
      </w:tr>
      <w:tr w14:paraId="0FC7F179">
        <w:trPr>
          <w:jc w:val="center"/>
        </w:trPr>
        <w:tc>
          <w:tcPr>
            <w:tcW w:w="2244" w:type="dxa"/>
            <w:shd w:val="clear" w:color="auto" w:fill="auto"/>
            <w:vAlign w:val="top"/>
          </w:tcPr>
          <w:p w14:paraId="052A8B12">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客户服务术语</w:t>
            </w:r>
          </w:p>
        </w:tc>
        <w:tc>
          <w:tcPr>
            <w:tcW w:w="2137" w:type="dxa"/>
            <w:shd w:val="clear" w:color="auto" w:fill="auto"/>
            <w:vAlign w:val="top"/>
          </w:tcPr>
          <w:p w14:paraId="6F488865">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服务窗</w:t>
            </w:r>
          </w:p>
        </w:tc>
        <w:tc>
          <w:tcPr>
            <w:tcW w:w="3862" w:type="dxa"/>
            <w:shd w:val="clear" w:color="auto" w:fill="auto"/>
            <w:vAlign w:val="top"/>
          </w:tcPr>
          <w:p w14:paraId="77B516D7">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支付宝平台上提供的自助服务渠道。</w:t>
            </w:r>
          </w:p>
        </w:tc>
      </w:tr>
      <w:tr w14:paraId="4CA3C529">
        <w:trPr>
          <w:jc w:val="center"/>
        </w:trPr>
        <w:tc>
          <w:tcPr>
            <w:tcW w:w="2244" w:type="dxa"/>
            <w:shd w:val="clear" w:color="auto" w:fill="auto"/>
            <w:vAlign w:val="top"/>
          </w:tcPr>
          <w:p w14:paraId="46A89785">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客户服务术语</w:t>
            </w:r>
          </w:p>
        </w:tc>
        <w:tc>
          <w:tcPr>
            <w:tcW w:w="2137" w:type="dxa"/>
            <w:shd w:val="clear" w:color="auto" w:fill="auto"/>
            <w:vAlign w:val="top"/>
          </w:tcPr>
          <w:p w14:paraId="57F5125E">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电子发票</w:t>
            </w:r>
          </w:p>
        </w:tc>
        <w:tc>
          <w:tcPr>
            <w:tcW w:w="3862" w:type="dxa"/>
            <w:shd w:val="clear" w:color="auto" w:fill="auto"/>
            <w:vAlign w:val="top"/>
          </w:tcPr>
          <w:p w14:paraId="078E5C48">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系统自动生成并发送给用户的电子形式发票。</w:t>
            </w:r>
          </w:p>
        </w:tc>
      </w:tr>
      <w:tr w14:paraId="648F27C2">
        <w:trPr>
          <w:jc w:val="center"/>
        </w:trPr>
        <w:tc>
          <w:tcPr>
            <w:tcW w:w="2244" w:type="dxa"/>
            <w:shd w:val="clear" w:color="auto" w:fill="auto"/>
            <w:vAlign w:val="top"/>
          </w:tcPr>
          <w:p w14:paraId="6ED3001B">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客户服务术语</w:t>
            </w:r>
          </w:p>
        </w:tc>
        <w:tc>
          <w:tcPr>
            <w:tcW w:w="2137" w:type="dxa"/>
            <w:shd w:val="clear" w:color="auto" w:fill="auto"/>
            <w:vAlign w:val="top"/>
          </w:tcPr>
          <w:p w14:paraId="09EE6874">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催缴</w:t>
            </w:r>
          </w:p>
        </w:tc>
        <w:tc>
          <w:tcPr>
            <w:tcW w:w="3862" w:type="dxa"/>
            <w:shd w:val="clear" w:color="auto" w:fill="auto"/>
            <w:vAlign w:val="top"/>
          </w:tcPr>
          <w:p w14:paraId="21A3C111">
            <w:pPr>
              <w:pStyle w:val="8"/>
              <w:keepNext w:val="0"/>
              <w:keepLines w:val="0"/>
              <w:widowControl/>
              <w:suppressLineNumbers w:val="0"/>
              <w:ind w:left="0" w:right="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对欠费用户进行催缴的业务流程，可通过短信、电话、上门等多种方式。</w:t>
            </w:r>
          </w:p>
        </w:tc>
      </w:tr>
    </w:tbl>
    <w:p w14:paraId="227FF9CC">
      <w:pPr>
        <w:pStyle w:val="4"/>
      </w:pPr>
      <w:r>
        <w:t>11.1 术语表</w:t>
      </w:r>
    </w:p>
    <w:p w14:paraId="4AE87EBA"/>
    <w:p w14:paraId="5FFB5FD6">
      <w:pPr>
        <w:pStyle w:val="4"/>
      </w:pPr>
      <w:r>
        <w:t>11.2 缩略语表</w:t>
      </w:r>
    </w:p>
    <w:p w14:paraId="58D43CC7">
      <w:pPr>
        <w:pStyle w:val="4"/>
      </w:pPr>
      <w:r>
        <w:t>11.3 其他相关文档</w:t>
      </w:r>
    </w:p>
    <w:p w14:paraId="236B37CC">
      <w:pPr>
        <w:pStyle w:val="3"/>
      </w:pPr>
      <w:r>
        <w:t>12. 版本记录</w:t>
      </w:r>
    </w:p>
    <w:p w14:paraId="2C3B6E45">
      <w:pPr>
        <w:pStyle w:val="4"/>
      </w:pPr>
      <w:r>
        <w:t>12.1 版本变更记录</w:t>
      </w:r>
    </w:p>
    <w:p w14:paraId="12F8FB24">
      <w:pPr>
        <w:pStyle w:val="4"/>
        <w:spacing w:after="260"/>
      </w:pPr>
      <w:r>
        <w:t>12.2 版本发布记录</w:t>
      </w:r>
    </w:p>
    <w:p w14:paraId="32C28B7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汉仪书宋二KW"/>
    <w:panose1 w:val="00000000000000000000"/>
    <w:charset w:val="86"/>
    <w:family w:val="auto"/>
    <w:pitch w:val="default"/>
    <w:sig w:usb0="00000000" w:usb1="00000000" w:usb2="00000000" w:usb3="00000000" w:csb0="00000000" w:csb1="00000000"/>
  </w:font>
  <w:font w:name="SimSun">
    <w:altName w:val="汉仪书宋二KW"/>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704020202020204"/>
    <w:charset w:val="01"/>
    <w:family w:val="swiss"/>
    <w:pitch w:val="default"/>
    <w:sig w:usb0="E0002AFF" w:usb1="C0007843" w:usb2="00000009" w:usb3="00000000" w:csb0="400001FF" w:csb1="FFFF0000"/>
  </w:font>
  <w:font w:name="SimHei">
    <w:altName w:val="汉仪中黑KW"/>
    <w:panose1 w:val="02010609060101010101"/>
    <w:charset w:val="86"/>
    <w:family w:val="auto"/>
    <w:pitch w:val="default"/>
    <w:sig w:usb0="800002BF" w:usb1="38CF7CFA" w:usb2="00000016" w:usb3="00000000" w:csb0="00040001" w:csb1="00000000"/>
  </w:font>
  <w:font w:name="Courier New">
    <w:panose1 w:val="020706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Microsoft YaHei">
    <w:altName w:val="汉仪旗黑"/>
    <w:panose1 w:val="00000000000000000000"/>
    <w:charset w:val="00"/>
    <w:family w:val="auto"/>
    <w:pitch w:val="default"/>
    <w:sig w:usb0="00000000" w:usb1="00000000" w:usb2="00000000" w:usb3="00000000" w:csb0="00000000" w:csb1="00000000"/>
  </w:font>
  <w:font w:name="汉仪旗黑">
    <w:panose1 w:val="00020600040101010101"/>
    <w:charset w:val="86"/>
    <w:family w:val="auto"/>
    <w:pitch w:val="default"/>
    <w:sig w:usb0="A00002BF" w:usb1="1ACF7CFA" w:usb2="00000016" w:usb3="00000000" w:csb0="0004009F" w:csb1="DFD70000"/>
  </w:font>
  <w:font w:name="仿宋_GB2312">
    <w:altName w:val="方正仿宋_GBK"/>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A00002BF" w:usb1="38CF7CFA" w:usb2="00082016" w:usb3="00000000" w:csb0="00040001" w:csb1="00000000"/>
  </w:font>
  <w:font w:name="Courier New">
    <w:panose1 w:val="02070609020205020404"/>
    <w:charset w:val="00"/>
    <w:family w:val="auto"/>
    <w:pitch w:val="default"/>
    <w:sig w:usb0="E0002AFF" w:usb1="C0007843" w:usb2="00000009" w:usb3="00000000" w:csb0="400001FF" w:csb1="FFFF0000"/>
  </w:font>
  <w:font w:name="Menlo">
    <w:panose1 w:val="020B0609030804020204"/>
    <w:charset w:val="00"/>
    <w:family w:val="auto"/>
    <w:pitch w:val="default"/>
    <w:sig w:usb0="E60022FF" w:usb1="D200F9FB" w:usb2="02000028" w:usb3="00000000" w:csb0="600001DF" w:csb1="FFDF0000"/>
  </w:font>
  <w:font w:name="宋体-简">
    <w:panose1 w:val="02010800040101010101"/>
    <w:charset w:val="86"/>
    <w:family w:val="auto"/>
    <w:pitch w:val="default"/>
    <w:sig w:usb0="00000001" w:usb1="080F0000" w:usb2="00000000" w:usb3="00000000" w:csb0="00040000" w:csb1="00000000"/>
  </w:font>
  <w:font w:name="Symbol">
    <w:altName w:val="Kingsoft Sign"/>
    <w:panose1 w:val="00000000000000000000"/>
    <w:charset w:val="00"/>
    <w:family w:val="auto"/>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80000000" w:csb1="00000000"/>
  </w:font>
  <w:font w:name="SimSun">
    <w:altName w:val="汉仪书宋二KW"/>
    <w:panose1 w:val="00000000000000000000"/>
    <w:charset w:val="00"/>
    <w:family w:val="auto"/>
    <w:pitch w:val="default"/>
    <w:sig w:usb0="00000000" w:usb1="00000000" w:usb2="00000000" w:usb3="00000000" w:csb0="00000000" w:csb1="00000000"/>
  </w:font>
  <w:font w:name="Arial">
    <w:panose1 w:val="020B0704020202020204"/>
    <w:charset w:val="00"/>
    <w:family w:val="auto"/>
    <w:pitch w:val="default"/>
    <w:sig w:usb0="E0002AFF" w:usb1="C0007843" w:usb2="00000009" w:usb3="00000000" w:csb0="400001FF" w:csb1="FFFF0000"/>
  </w:font>
  <w:font w:name="SimHei">
    <w:altName w:val="汉仪中黑KW"/>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96A9D7"/>
    <w:multiLevelType w:val="singleLevel"/>
    <w:tmpl w:val="BD96A9D7"/>
    <w:lvl w:ilvl="0" w:tentative="0">
      <w:start w:val="1"/>
      <w:numFmt w:val="decimal"/>
      <w:lvlText w:val="%1."/>
      <w:lvlJc w:val="left"/>
      <w:pPr>
        <w:ind w:left="720" w:firstLine="0"/>
      </w:pPr>
      <w:rPr>
        <w:sz w:val="24"/>
      </w:rPr>
    </w:lvl>
  </w:abstractNum>
  <w:abstractNum w:abstractNumId="1">
    <w:nsid w:val="CFBB0C46"/>
    <w:multiLevelType w:val="singleLevel"/>
    <w:tmpl w:val="CFBB0C46"/>
    <w:lvl w:ilvl="0" w:tentative="0">
      <w:start w:val="1"/>
      <w:numFmt w:val="bullet"/>
      <w:lvlText w:val=""/>
      <w:lvlJc w:val="left"/>
      <w:pPr>
        <w:ind w:left="720" w:firstLine="0"/>
      </w:pPr>
      <w:rPr>
        <w:rFonts w:hint="default" w:ascii="Symbol" w:hAnsi="Symbol" w:cs="Symbol"/>
        <w:sz w:val="20"/>
      </w:rPr>
    </w:lvl>
  </w:abstractNum>
  <w:abstractNum w:abstractNumId="2">
    <w:nsid w:val="EF79A7D0"/>
    <w:multiLevelType w:val="singleLevel"/>
    <w:tmpl w:val="EF79A7D0"/>
    <w:lvl w:ilvl="0" w:tentative="0">
      <w:start w:val="1"/>
      <w:numFmt w:val="bullet"/>
      <w:lvlText w:val=""/>
      <w:lvlJc w:val="left"/>
      <w:pPr>
        <w:ind w:left="720" w:firstLine="0"/>
      </w:pPr>
      <w:rPr>
        <w:rFonts w:hint="default" w:ascii="Symbol" w:hAnsi="Symbol" w:cs="Symbol"/>
        <w:sz w:val="20"/>
      </w:rPr>
    </w:lvl>
  </w:abstractNum>
  <w:abstractNum w:abstractNumId="3">
    <w:nsid w:val="F7BF734C"/>
    <w:multiLevelType w:val="multilevel"/>
    <w:tmpl w:val="F7BF734C"/>
    <w:lvl w:ilvl="0" w:tentative="0">
      <w:start w:val="1"/>
      <w:numFmt w:val="bullet"/>
      <w:lvlText w:val=""/>
      <w:lvlJc w:val="left"/>
      <w:pPr>
        <w:ind w:left="720" w:firstLine="0"/>
      </w:pPr>
      <w:rPr>
        <w:rFonts w:hint="default" w:ascii="Symbol" w:hAnsi="Symbol" w:cs="Symbol"/>
        <w:sz w:val="20"/>
      </w:rPr>
    </w:lvl>
    <w:lvl w:ilvl="1" w:tentative="0">
      <w:start w:val="1"/>
      <w:numFmt w:val="bullet"/>
      <w:lvlText w:val="o"/>
      <w:lvlJc w:val="left"/>
      <w:pPr>
        <w:ind w:left="1440" w:firstLine="0"/>
      </w:pPr>
      <w:rPr>
        <w:rFonts w:hint="default" w:ascii="Courier New" w:hAnsi="Courier New" w:cs="Courier New"/>
        <w:sz w:val="20"/>
      </w:rPr>
    </w:lvl>
    <w:lvl w:ilvl="2" w:tentative="0">
      <w:start w:val="1"/>
      <w:numFmt w:val="bullet"/>
      <w:lvlText w:val=""/>
      <w:lvlJc w:val="left"/>
      <w:pPr>
        <w:ind w:left="2160" w:firstLine="0"/>
      </w:pPr>
      <w:rPr>
        <w:rFonts w:hint="default" w:ascii="Wingdings" w:hAnsi="Wingdings" w:cs="Wingdings"/>
        <w:sz w:val="20"/>
      </w:rPr>
    </w:lvl>
  </w:abstractNum>
  <w:abstractNum w:abstractNumId="4">
    <w:nsid w:val="76DC5E15"/>
    <w:multiLevelType w:val="singleLevel"/>
    <w:tmpl w:val="76DC5E15"/>
    <w:lvl w:ilvl="0" w:tentative="0">
      <w:start w:val="1"/>
      <w:numFmt w:val="bullet"/>
      <w:lvlText w:val=""/>
      <w:lvlJc w:val="left"/>
      <w:pPr>
        <w:ind w:left="720" w:firstLine="0"/>
      </w:pPr>
      <w:rPr>
        <w:rFonts w:hint="default" w:ascii="Symbol" w:hAnsi="Symbol" w:cs="Symbol"/>
        <w:sz w:val="20"/>
      </w:r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1FF3354"/>
    <w:rsid w:val="E1FF33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SimHei"/>
      <w:b/>
      <w:sz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SimHei"/>
      <w:b/>
      <w:sz w:val="28"/>
    </w:rPr>
  </w:style>
  <w:style w:type="character" w:default="1" w:styleId="7">
    <w:name w:val="Default Paragraph Font"/>
    <w:semiHidden/>
    <w:uiPriority w:val="0"/>
  </w:style>
  <w:style w:type="table" w:default="1" w:styleId="6">
    <w:name w:val="Normal Table"/>
    <w:semiHidden/>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customStyle="1" w:styleId="8">
    <w:name w:val="Compact"/>
    <w:uiPriority w:val="0"/>
    <w:pPr>
      <w:spacing w:before="36" w:beforeAutospacing="0" w:after="36" w:afterAutospacing="0"/>
      <w:ind w:firstLine="560" w:firstLineChars="200"/>
      <w:jc w:val="both"/>
    </w:pPr>
    <w:rPr>
      <w:rFonts w:hint="default" w:ascii="Microsoft YaHei" w:hAnsi="Microsoft YaHei" w:eastAsia="Microsoft YaHei" w:cs="Times New Roman"/>
      <w:kern w:val="0"/>
      <w:sz w:val="24"/>
      <w:szCs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0</Words>
  <Characters>0</Characters>
  <Lines>1</Lines>
  <Paragraphs>1</Paragraphs>
  <TotalTime>29</TotalTime>
  <ScaleCrop>false</ScaleCrop>
  <LinksUpToDate>false</LinksUpToDate>
  <CharactersWithSpaces>0</CharactersWithSpaces>
  <Application>WPS Office_7.4.1.8983_F1E327BC-269C-435d-A152-05C5408002CA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2025-06-09T09:08:00Z</dcterms:created>
  <dc:creator>a唐小明</dc:creator>
  <cp:lastModifiedBy>a唐小明</cp:lastModifiedBy>
  <dcterms:modified xsi:type="dcterms:W3CDTF">2025-06-09T09:39:48Z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2052-7.4.1.8983</vt:lpwstr>
  </property>
  <property fmtid="{D5CDD505-2E9C-101B-9397-08002B2CF9AE}" pid="3" name="ICV">
    <vt:lpwstr>E3B0B0826F0EC93D2A344668ED8036D7_41</vt:lpwstr>
  </property>
</Properties>
</file>