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6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4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5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福建水务营收系统-客户服务模块正文</w:t>
      </w:r>
    </w:p>
    <w:p>
      <w:pPr>
        <w:pStyle w:val="Author"/>
      </w:pPr>
      <w:r>
        <w:rPr>
          <w:rFonts w:hint="eastAsia"/>
        </w:rPr>
        <w:t xml:space="preserve">系统设计团队</w:t>
      </w:r>
    </w:p>
    <w:p>
      <w:pPr>
        <w:pStyle w:val="Date"/>
      </w:pPr>
      <w:r>
        <w:rPr>
          <w:rFonts w:hint="eastAsia"/>
        </w:rPr>
        <w:t xml:space="preserve">2024年12月19日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"1-4" \h \z \u</w:instrText>
            <w:fldChar w:fldCharType="separate"/>
            <w:fldChar w:fldCharType="end"/>
          </w:r>
        </w:p>
      </w:sdtContent>
    </w:sdt>
    <w:bookmarkStart w:id="23" w:name="福建水务营收系统详细设计-客户服务模块正文"/>
    <w:p>
      <w:pPr>
        <w:pStyle w:val="1"/>
      </w:pPr>
      <w:r>
        <w:rPr>
          <w:rFonts w:hint="eastAsia"/>
        </w:rPr>
        <w:t xml:space="preserve">福建水务营收系统详细设计-客户服务模块正文</w:t>
      </w:r>
    </w:p>
    <w:bookmarkStart w:id="20" w:name="章节导航精简"/>
    <w:p>
      <w:pPr>
        <w:pStyle w:val="2"/>
      </w:pPr>
      <w:r>
        <w:rPr>
          <w:rFonts w:hint="eastAsia"/>
        </w:rPr>
        <w:t xml:space="preserve">章节导航（精简）</w:t>
      </w:r>
    </w:p>
    <w:p>
      <w:pPr>
        <w:pStyle w:val="Compact"/>
        <w:numPr>
          <w:ilvl w:val="0"/>
          <w:numId w:val="1001"/>
        </w:numPr>
      </w:pPr>
      <w:hyperlink w:anchor="sec-position">
        <w:r>
          <w:rPr>
            <w:rStyle w:val="ac"/>
            <w:rFonts w:hint="eastAsia"/>
          </w:rPr>
          <w:t xml:space="preserve">文档定位</w:t>
        </w:r>
      </w:hyperlink>
    </w:p>
    <w:p>
      <w:pPr>
        <w:pStyle w:val="Compact"/>
        <w:numPr>
          <w:ilvl w:val="0"/>
          <w:numId w:val="1001"/>
        </w:numPr>
      </w:pPr>
      <w:hyperlink w:anchor="sec-cs-alignment">
        <w:r>
          <w:rPr>
            <w:rStyle w:val="ac"/>
            <w:rFonts w:hint="eastAsia"/>
          </w:rPr>
          <w:t xml:space="preserve">架构图模块对齐说明</w:t>
        </w:r>
      </w:hyperlink>
    </w:p>
    <w:p>
      <w:pPr>
        <w:pStyle w:val="Compact"/>
        <w:numPr>
          <w:ilvl w:val="0"/>
          <w:numId w:val="1001"/>
        </w:numPr>
      </w:pPr>
      <w:hyperlink w:anchor="sec-content">
        <w:r>
          <w:rPr>
            <w:rStyle w:val="ac"/>
            <w:rFonts w:hint="eastAsia"/>
          </w:rPr>
          <w:t xml:space="preserve">客户服务详细设计正文</w:t>
        </w:r>
      </w:hyperlink>
    </w:p>
    <w:p>
      <w:pPr>
        <w:pStyle w:val="Compact"/>
        <w:numPr>
          <w:ilvl w:val="1"/>
          <w:numId w:val="1002"/>
        </w:numPr>
      </w:pPr>
      <w:hyperlink w:anchor="sec-cs-rules">
        <w:r>
          <w:rPr>
            <w:rStyle w:val="ac"/>
            <w:rFonts w:hint="eastAsia"/>
          </w:rPr>
          <w:t xml:space="preserve">客户服务模块统一约束</w:t>
        </w:r>
      </w:hyperlink>
    </w:p>
    <w:p>
      <w:pPr>
        <w:pStyle w:val="Compact"/>
        <w:numPr>
          <w:ilvl w:val="1"/>
          <w:numId w:val="1002"/>
        </w:numPr>
      </w:pPr>
      <w:hyperlink w:anchor="sec-cs-trace">
        <w:r>
          <w:rPr>
            <w:rStyle w:val="ac"/>
            <w:rFonts w:hint="eastAsia"/>
          </w:rPr>
          <w:t xml:space="preserve">接口与数据追溯矩阵</w:t>
        </w:r>
      </w:hyperlink>
    </w:p>
    <w:p>
      <w:pPr>
        <w:pStyle w:val="Compact"/>
        <w:numPr>
          <w:ilvl w:val="1"/>
          <w:numId w:val="1002"/>
        </w:numPr>
      </w:pPr>
      <w:hyperlink w:anchor="mod-cs-001">
        <w:r>
          <w:rPr>
            <w:rStyle w:val="ac"/>
          </w:rPr>
          <w:t xml:space="preserve">CS-001 </w:t>
        </w:r>
        <w:r>
          <w:rPr>
            <w:rStyle w:val="ac"/>
            <w:rFonts w:hint="eastAsia"/>
          </w:rPr>
          <w:t xml:space="preserve">账户绑定管理</w:t>
        </w:r>
      </w:hyperlink>
    </w:p>
    <w:p>
      <w:pPr>
        <w:pStyle w:val="Compact"/>
        <w:numPr>
          <w:ilvl w:val="1"/>
          <w:numId w:val="1002"/>
        </w:numPr>
      </w:pPr>
      <w:hyperlink w:anchor="mod-cs-002">
        <w:r>
          <w:rPr>
            <w:rStyle w:val="ac"/>
          </w:rPr>
          <w:t xml:space="preserve">CS-002 </w:t>
        </w:r>
        <w:r>
          <w:rPr>
            <w:rStyle w:val="ac"/>
            <w:rFonts w:hint="eastAsia"/>
          </w:rPr>
          <w:t xml:space="preserve">信息查询服务</w:t>
        </w:r>
      </w:hyperlink>
    </w:p>
    <w:p>
      <w:pPr>
        <w:pStyle w:val="Compact"/>
        <w:numPr>
          <w:ilvl w:val="1"/>
          <w:numId w:val="1002"/>
        </w:numPr>
      </w:pPr>
      <w:hyperlink w:anchor="mod-cs-003">
        <w:r>
          <w:rPr>
            <w:rStyle w:val="ac"/>
          </w:rPr>
          <w:t xml:space="preserve">CS-003 </w:t>
        </w:r>
        <w:r>
          <w:rPr>
            <w:rStyle w:val="ac"/>
            <w:rFonts w:hint="eastAsia"/>
          </w:rPr>
          <w:t xml:space="preserve">在线缴费服务</w:t>
        </w:r>
      </w:hyperlink>
    </w:p>
    <w:p>
      <w:pPr>
        <w:pStyle w:val="Compact"/>
        <w:numPr>
          <w:ilvl w:val="1"/>
          <w:numId w:val="1002"/>
        </w:numPr>
      </w:pPr>
      <w:hyperlink w:anchor="mod-cs-004">
        <w:r>
          <w:rPr>
            <w:rStyle w:val="ac"/>
          </w:rPr>
          <w:t xml:space="preserve">CS-004 </w:t>
        </w:r>
        <w:r>
          <w:rPr>
            <w:rStyle w:val="ac"/>
            <w:rFonts w:hint="eastAsia"/>
          </w:rPr>
          <w:t xml:space="preserve">电子发票服务</w:t>
        </w:r>
      </w:hyperlink>
    </w:p>
    <w:p>
      <w:pPr>
        <w:pStyle w:val="Compact"/>
        <w:numPr>
          <w:ilvl w:val="1"/>
          <w:numId w:val="1002"/>
        </w:numPr>
      </w:pPr>
      <w:hyperlink w:anchor="mod-cs-005">
        <w:r>
          <w:rPr>
            <w:rStyle w:val="ac"/>
          </w:rPr>
          <w:t xml:space="preserve">CS-005 </w:t>
        </w:r>
        <w:r>
          <w:rPr>
            <w:rStyle w:val="ac"/>
            <w:rFonts w:hint="eastAsia"/>
          </w:rPr>
          <w:t xml:space="preserve">营业网点服务</w:t>
        </w:r>
      </w:hyperlink>
    </w:p>
    <w:p>
      <w:pPr>
        <w:pStyle w:val="Compact"/>
        <w:numPr>
          <w:ilvl w:val="1"/>
          <w:numId w:val="1002"/>
        </w:numPr>
      </w:pPr>
      <w:hyperlink w:anchor="mod-cs-006">
        <w:r>
          <w:rPr>
            <w:rStyle w:val="ac"/>
          </w:rPr>
          <w:t xml:space="preserve">CS-006 </w:t>
        </w:r>
        <w:r>
          <w:rPr>
            <w:rStyle w:val="ac"/>
            <w:rFonts w:hint="eastAsia"/>
          </w:rPr>
          <w:t xml:space="preserve">业务办理服务</w:t>
        </w:r>
      </w:hyperlink>
    </w:p>
    <w:p>
      <w:pPr>
        <w:pStyle w:val="Compact"/>
        <w:numPr>
          <w:ilvl w:val="1"/>
          <w:numId w:val="1002"/>
        </w:numPr>
      </w:pPr>
      <w:hyperlink w:anchor="mod-cs-007">
        <w:r>
          <w:rPr>
            <w:rStyle w:val="ac"/>
          </w:rPr>
          <w:t xml:space="preserve">CS-007 </w:t>
        </w:r>
        <w:r>
          <w:rPr>
            <w:rStyle w:val="ac"/>
            <w:rFonts w:hint="eastAsia"/>
          </w:rPr>
          <w:t xml:space="preserve">柜面扫码支付</w:t>
        </w:r>
      </w:hyperlink>
    </w:p>
    <w:p>
      <w:pPr>
        <w:pStyle w:val="FirstParagraph"/>
      </w:pPr>
    </w:p>
    <w:bookmarkEnd w:id="20"/>
    <w:bookmarkStart w:id="21" w:name="文档定位"/>
    <w:p>
      <w:pPr>
        <w:pStyle w:val="2"/>
      </w:pPr>
      <w:r>
        <w:rPr>
          <w:rFonts w:hint="eastAsia"/>
        </w:rPr>
        <w:t xml:space="preserve">文档定位</w:t>
      </w:r>
    </w:p>
    <w:p>
      <w:pPr>
        <w:pStyle w:val="FirstParagraph"/>
      </w:pPr>
      <w:r>
        <w:rPr>
          <w:rFonts w:hint="eastAsia"/>
        </w:rPr>
        <w:t xml:space="preserve">本文档为</w:t>
      </w:r>
      <w:r>
        <w:t xml:space="preserve"> </w:t>
      </w:r>
      <w:r>
        <w:rPr>
          <w:rStyle w:val="VerbatimChar"/>
        </w:rPr>
        <w:t xml:space="preserve">01_Detailed_Design.md</w:t>
      </w:r>
      <w:r>
        <w:t xml:space="preserve"> </w:t>
      </w:r>
      <w:r>
        <w:rPr>
          <w:rFonts w:hint="eastAsia"/>
        </w:rPr>
        <w:t xml:space="preserve">中“客户服务模块详细设计”章节的模块正文拆分稿，便于按模块独立维护。正式交付口径以主详设为准。</w:t>
      </w:r>
    </w:p>
    <w:p>
      <w:pPr>
        <w:pStyle w:val="a5"/>
      </w:pPr>
    </w:p>
    <w:bookmarkEnd w:id="21"/>
    <w:bookmarkStart w:id="22" w:name="架构图模块对齐说明"/>
    <w:p>
      <w:pPr>
        <w:pStyle w:val="2"/>
      </w:pPr>
      <w:r>
        <w:rPr>
          <w:rFonts w:hint="eastAsia"/>
        </w:rPr>
        <w:t xml:space="preserve">架构图模块对齐说明</w:t>
      </w:r>
    </w:p>
    <w:p>
      <w:pPr>
        <w:pStyle w:val="FirstParagraph"/>
      </w:pPr>
      <w:r>
        <w:rPr>
          <w:rFonts w:hint="eastAsia"/>
        </w:rPr>
        <w:t xml:space="preserve">整体架构图中，客户渠道相关模块同时使用了</w:t>
      </w:r>
      <w:r>
        <w:t xml:space="preserve"> </w:t>
      </w:r>
      <w:r>
        <w:rPr>
          <w:rStyle w:val="VerbatimChar"/>
        </w:rPr>
        <w:t xml:space="preserve">CS-*</w:t>
      </w:r>
      <w:r>
        <w:t xml:space="preserve"> </w:t>
      </w:r>
      <w:r>
        <w:rPr>
          <w:rFonts w:hint="eastAsia"/>
        </w:rPr>
        <w:t xml:space="preserve">与</w:t>
      </w:r>
      <w:r>
        <w:t xml:space="preserve"> </w:t>
      </w:r>
      <w:r>
        <w:rPr>
          <w:rStyle w:val="VerbatimChar"/>
        </w:rPr>
        <w:t xml:space="preserve">WECHAT-*</w:t>
      </w:r>
      <w:r>
        <w:t xml:space="preserve"> </w:t>
      </w:r>
      <w:r>
        <w:rPr>
          <w:rFonts w:hint="eastAsia"/>
        </w:rPr>
        <w:t xml:space="preserve">两套编号：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CS-*</w:t>
      </w:r>
      <w:r>
        <w:t xml:space="preserve"> </w:t>
      </w:r>
      <w:r>
        <w:rPr>
          <w:rFonts w:hint="eastAsia"/>
        </w:rPr>
        <w:t xml:space="preserve">用于</w:t>
      </w:r>
      <w:r>
        <w:t xml:space="preserve"> </w:t>
      </w:r>
      <w:r>
        <w:rPr>
          <w:rStyle w:val="VerbatimChar"/>
        </w:rPr>
        <w:t xml:space="preserve">SYS-002</w:t>
      </w:r>
      <w:r>
        <w:t xml:space="preserve"> </w:t>
      </w:r>
      <w:r>
        <w:rPr>
          <w:rFonts w:hint="eastAsia"/>
        </w:rPr>
        <w:t xml:space="preserve">营收业务子系统中的客户服务模块群表达；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WECHAT-*</w:t>
      </w:r>
      <w:r>
        <w:t xml:space="preserve"> </w:t>
      </w:r>
      <w:r>
        <w:rPr>
          <w:rFonts w:hint="eastAsia"/>
        </w:rPr>
        <w:t xml:space="preserve">用于</w:t>
      </w:r>
      <w:r>
        <w:t xml:space="preserve"> </w:t>
      </w:r>
      <w:r>
        <w:rPr>
          <w:rStyle w:val="VerbatimChar"/>
        </w:rPr>
        <w:t xml:space="preserve">SYS-004</w:t>
      </w:r>
      <w:r>
        <w:t xml:space="preserve"> </w:t>
      </w:r>
      <w:r>
        <w:rPr>
          <w:rFonts w:hint="eastAsia"/>
        </w:rPr>
        <w:t xml:space="preserve">微网厅子系统中的渠道形态表达。</w:t>
      </w:r>
    </w:p>
    <w:p>
      <w:pPr>
        <w:pStyle w:val="FirstParagraph"/>
      </w:pPr>
      <w:r>
        <w:rPr>
          <w:rFonts w:hint="eastAsia"/>
        </w:rPr>
        <w:t xml:space="preserve">当前详细设计采用“能力域优先”的承接方式，即以</w:t>
      </w:r>
      <w:r>
        <w:t xml:space="preserve"> </w:t>
      </w:r>
      <w:r>
        <w:rPr>
          <w:rStyle w:val="VerbatimChar"/>
        </w:rPr>
        <w:t xml:space="preserve">CS-*</w:t>
      </w:r>
      <w:r>
        <w:t xml:space="preserve"> </w:t>
      </w:r>
      <w:r>
        <w:rPr>
          <w:rFonts w:hint="eastAsia"/>
        </w:rPr>
        <w:t xml:space="preserve">作为正式详细设计编号，将</w:t>
      </w:r>
      <w:r>
        <w:t xml:space="preserve"> </w:t>
      </w:r>
      <w:r>
        <w:rPr>
          <w:rStyle w:val="VerbatimChar"/>
        </w:rPr>
        <w:t xml:space="preserve">WECHAT-*</w:t>
      </w:r>
      <w:r>
        <w:t xml:space="preserve"> </w:t>
      </w:r>
      <w:r>
        <w:rPr>
          <w:rFonts w:hint="eastAsia"/>
        </w:rPr>
        <w:t xml:space="preserve">视为渠道侧同源能力映射，不另建平行正式主稿。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架构图模块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当前详设承接章节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WECHAT-001</w:t>
            </w:r>
            <w:r>
              <w:t xml:space="preserve"> </w:t>
            </w:r>
            <w:r>
              <w:rPr>
                <w:rFonts w:hint="eastAsia"/>
              </w:rPr>
              <w:t xml:space="preserve">账户绑定管理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CS-001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微网厅渠道形态映射到统一账户绑定能力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WECHAT-002</w:t>
            </w:r>
            <w:r>
              <w:t xml:space="preserve"> </w:t>
            </w:r>
            <w:r>
              <w:rPr>
                <w:rFonts w:hint="eastAsia"/>
              </w:rPr>
              <w:t xml:space="preserve">信息查询服务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CS-002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微网厅账单、发票、流水查询能力映射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WECHAT-003</w:t>
            </w:r>
            <w:r>
              <w:t xml:space="preserve"> </w:t>
            </w:r>
            <w:r>
              <w:rPr>
                <w:rFonts w:hint="eastAsia"/>
              </w:rPr>
              <w:t xml:space="preserve">在线缴费服务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CS-003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微网厅渠道缴费入口映射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WECHAT-004</w:t>
            </w:r>
            <w:r>
              <w:t xml:space="preserve"> </w:t>
            </w:r>
            <w:r>
              <w:rPr>
                <w:rFonts w:hint="eastAsia"/>
              </w:rPr>
              <w:t xml:space="preserve">电子发票服务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CS-004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微网厅电子发票查看/推送/下载映射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WECHAT-005</w:t>
            </w:r>
            <w:r>
              <w:t xml:space="preserve"> </w:t>
            </w:r>
            <w:r>
              <w:rPr>
                <w:rFonts w:hint="eastAsia"/>
              </w:rPr>
              <w:t xml:space="preserve">营业网点服务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CS-005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微网厅网点查询与预约引导映射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WECHAT-006</w:t>
            </w:r>
            <w:r>
              <w:t xml:space="preserve"> </w:t>
            </w:r>
            <w:r>
              <w:rPr>
                <w:rFonts w:hint="eastAsia"/>
              </w:rPr>
              <w:t xml:space="preserve">业务办理服务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CS-006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微网厅线上办理入口映射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WECHAT-007</w:t>
            </w:r>
            <w:r>
              <w:t xml:space="preserve"> </w:t>
            </w:r>
            <w:r>
              <w:rPr>
                <w:rFonts w:hint="eastAsia"/>
              </w:rPr>
              <w:t xml:space="preserve">账户流水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CS-002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当前并入信息查询服务，不单列平行正文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WECHAT-008</w:t>
            </w:r>
            <w:r>
              <w:t xml:space="preserve"> </w:t>
            </w:r>
            <w:r>
              <w:rPr>
                <w:rFonts w:hint="eastAsia"/>
              </w:rPr>
              <w:t xml:space="preserve">账号与机构管理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CS-001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当前并入账户绑定与账户切换能力</w:t>
            </w:r>
          </w:p>
        </w:tc>
      </w:tr>
    </w:tbl>
    <w:p>
      <w:pPr>
        <w:pStyle w:val="a5"/>
      </w:pPr>
    </w:p>
    <w:bookmarkEnd w:id="22"/>
    <w:bookmarkEnd w:id="23"/>
    <w:bookmarkStart w:id="70" w:name="客户服务模块详细设计"/>
    <w:p>
      <w:pPr>
        <w:pStyle w:val="1"/>
      </w:pPr>
      <w:r>
        <w:rPr>
          <w:rFonts w:hint="eastAsia"/>
        </w:rPr>
        <w:t xml:space="preserve">客户服务模块详细设计</w:t>
      </w:r>
    </w:p>
    <w:p>
      <w:pPr>
        <w:pStyle w:val="FirstParagraph"/>
      </w:pPr>
    </w:p>
    <w:bookmarkStart w:id="24" w:name="客户服务模块统一约束"/>
    <w:p>
      <w:pPr>
        <w:pStyle w:val="2"/>
      </w:pPr>
      <w:r>
        <w:rPr>
          <w:rFonts w:hint="eastAsia"/>
        </w:rPr>
        <w:t xml:space="preserve">客户服务模块统一约束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客户服务模块负责渠道侧受理与展示，核心账务、发票、通知结果均由</w:t>
      </w:r>
      <w:r>
        <w:t xml:space="preserve"> </w:t>
      </w:r>
      <w:r>
        <w:rPr>
          <w:rStyle w:val="VerbatimChar"/>
        </w:rPr>
        <w:t xml:space="preserve">SYS-002</w:t>
      </w:r>
      <w:r>
        <w:t xml:space="preserve"> </w:t>
      </w:r>
      <w:r>
        <w:rPr>
          <w:rFonts w:hint="eastAsia"/>
        </w:rPr>
        <w:t xml:space="preserve">统一落账与回写。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支付、发票、消息分别通过</w:t>
      </w:r>
      <w:r>
        <w:t xml:space="preserve"> </w:t>
      </w:r>
      <w:r>
        <w:rPr>
          <w:rStyle w:val="VerbatimChar"/>
        </w:rPr>
        <w:t xml:space="preserve">SYS-009</w:t>
      </w:r>
      <w:r>
        <w:t xml:space="preserve">、</w:t>
      </w:r>
      <w:r>
        <w:rPr>
          <w:rStyle w:val="VerbatimChar"/>
        </w:rPr>
        <w:t xml:space="preserve">SYS-008</w:t>
      </w:r>
      <w:r>
        <w:t xml:space="preserve">、</w:t>
      </w:r>
      <w:r>
        <w:rPr>
          <w:rStyle w:val="VerbatimChar"/>
        </w:rPr>
        <w:t xml:space="preserve">SYS-010</w:t>
      </w:r>
      <w:r>
        <w:t xml:space="preserve"> </w:t>
      </w:r>
      <w:r>
        <w:rPr>
          <w:rFonts w:hint="eastAsia"/>
        </w:rPr>
        <w:t xml:space="preserve">协同完成，客户服务模块不直接承载外部平台业务规则。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账户绑定、在线支付、发票申请、业务办理等关键动作必须进行身份校验与权限校验，禁止匿名高风险操作。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支付与发票场景必须具备幂等控制，避免重复下单、重复开票、重复回写导致业务状态不一致。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渠道请求、结果回写、人工补偿动作应保留可追溯日志，满足审计与争议处理要求。</w:t>
      </w:r>
    </w:p>
    <w:p>
      <w:pPr>
        <w:pStyle w:val="FirstParagraph"/>
      </w:pPr>
    </w:p>
    <w:bookmarkEnd w:id="24"/>
    <w:bookmarkStart w:id="25" w:name="接口与数据追溯矩阵"/>
    <w:p>
      <w:pPr>
        <w:pStyle w:val="2"/>
      </w:pPr>
      <w:r>
        <w:rPr>
          <w:rFonts w:hint="eastAsia"/>
        </w:rPr>
        <w:t xml:space="preserve">接口与数据追溯矩阵</w:t>
      </w:r>
    </w:p>
    <w:p>
      <w:pPr>
        <w:pStyle w:val="BlockText"/>
      </w:pPr>
      <w:r>
        <w:rPr>
          <w:rFonts w:hint="eastAsia"/>
        </w:rPr>
        <w:t xml:space="preserve">说明：详细接口字段与报文以</w:t>
      </w:r>
      <w:r>
        <w:t xml:space="preserve"> </w:t>
      </w:r>
      <w:r>
        <w:rPr>
          <w:rStyle w:val="VerbatimChar"/>
        </w:rPr>
        <w:t xml:space="preserve">../03_Technical_Design/03_Interface_Design.md</w:t>
      </w:r>
      <w:r>
        <w:t xml:space="preserve"> </w:t>
      </w:r>
      <w:r>
        <w:rPr>
          <w:rFonts w:hint="eastAsia"/>
        </w:rPr>
        <w:t xml:space="preserve">为准。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CS </w:t>
            </w:r>
            <w:r>
              <w:rPr>
                <w:rFonts w:hint="eastAsia"/>
              </w:rPr>
              <w:t xml:space="preserve">模块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关键接口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核心数据域（摘要）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主要协同对象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CS-001 </w:t>
            </w:r>
            <w:r>
              <w:rPr>
                <w:rFonts w:hint="eastAsia"/>
              </w:rPr>
              <w:t xml:space="preserve">账户绑定管理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IF-CS-001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biz_cust_app_binds</w:t>
            </w:r>
            <w:r>
              <w:t xml:space="preserve">、</w:t>
            </w:r>
            <w:r>
              <w:rPr>
                <w:rStyle w:val="VerbatimChar"/>
              </w:rPr>
              <w:t xml:space="preserve">biz_cust</w:t>
            </w:r>
            <w:r>
              <w:t xml:space="preserve">、</w:t>
            </w:r>
            <w:r>
              <w:rPr>
                <w:rStyle w:val="VerbatimChar"/>
              </w:rPr>
              <w:t xml:space="preserve">biz_account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微信、支付宝、微网厅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CS-002 </w:t>
            </w:r>
            <w:r>
              <w:rPr>
                <w:rFonts w:hint="eastAsia"/>
              </w:rPr>
              <w:t xml:space="preserve">信息查询服务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IF-CS-002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biz_charge*</w:t>
            </w:r>
            <w:r>
              <w:t xml:space="preserve">、</w:t>
            </w:r>
            <w:r>
              <w:rPr>
                <w:rStyle w:val="VerbatimChar"/>
              </w:rPr>
              <w:t xml:space="preserve">biz_reading_data</w:t>
            </w:r>
            <w:r>
              <w:t xml:space="preserve">、</w:t>
            </w:r>
            <w:r>
              <w:rPr>
                <w:rStyle w:val="VerbatimChar"/>
              </w:rPr>
              <w:t xml:space="preserve">biz_invoice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客户渠道、</w:t>
            </w:r>
            <w:r>
              <w:rPr>
                <w:rStyle w:val="VerbatimChar"/>
              </w:rPr>
              <w:t xml:space="preserve">SYS-002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CS-003 </w:t>
            </w:r>
            <w:r>
              <w:rPr>
                <w:rFonts w:hint="eastAsia"/>
              </w:rPr>
              <w:t xml:space="preserve">在线缴费服务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IF-CS-003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biz_charge*</w:t>
            </w:r>
            <w:r>
              <w:t xml:space="preserve">、</w:t>
            </w:r>
            <w:r>
              <w:rPr>
                <w:rStyle w:val="VerbatimChar"/>
              </w:rPr>
              <w:t xml:space="preserve">biz_collection</w:t>
            </w:r>
            <w:r>
              <w:t xml:space="preserve">、</w:t>
            </w:r>
            <w:r>
              <w:rPr>
                <w:rStyle w:val="VerbatimChar"/>
              </w:rPr>
              <w:t xml:space="preserve">bk_transaction*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SYS-009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CS-004 </w:t>
            </w:r>
            <w:r>
              <w:rPr>
                <w:rFonts w:hint="eastAsia"/>
              </w:rPr>
              <w:t xml:space="preserve">电子发票服务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IF-CS-004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biz_invoice*</w:t>
            </w:r>
            <w:r>
              <w:t xml:space="preserve">、</w:t>
            </w:r>
            <w:r>
              <w:rPr>
                <w:rStyle w:val="VerbatimChar"/>
              </w:rPr>
              <w:t xml:space="preserve">biz_cust_invoice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SYS-008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CS-005 </w:t>
            </w:r>
            <w:r>
              <w:rPr>
                <w:rFonts w:hint="eastAsia"/>
              </w:rPr>
              <w:t xml:space="preserve">营业网点服务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IF-CS-005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biz_outlets</w:t>
            </w:r>
            <w:r>
              <w:t xml:space="preserve">、</w:t>
            </w:r>
            <w:r>
              <w:rPr>
                <w:rStyle w:val="VerbatimChar"/>
              </w:rPr>
              <w:t xml:space="preserve">biz_business_types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客户渠道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CS-006 </w:t>
            </w:r>
            <w:r>
              <w:rPr>
                <w:rFonts w:hint="eastAsia"/>
              </w:rPr>
              <w:t xml:space="preserve">业务办理服务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IF-CS-006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biz_process*</w:t>
            </w:r>
            <w:r>
              <w:t xml:space="preserve">、</w:t>
            </w:r>
            <w:r>
              <w:rPr>
                <w:rStyle w:val="VerbatimChar"/>
              </w:rPr>
              <w:t xml:space="preserve">biz_content_attach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工单系统、</w:t>
            </w:r>
            <w:r>
              <w:rPr>
                <w:rStyle w:val="VerbatimChar"/>
              </w:rPr>
              <w:t xml:space="preserve">SYS-010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CS-007 </w:t>
            </w:r>
            <w:r>
              <w:rPr>
                <w:rFonts w:hint="eastAsia"/>
              </w:rPr>
              <w:t xml:space="preserve">柜面扫码支付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IF-CS-007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biz_collection</w:t>
            </w:r>
            <w:r>
              <w:t xml:space="preserve">、</w:t>
            </w:r>
            <w:r>
              <w:rPr>
                <w:rStyle w:val="VerbatimChar"/>
              </w:rPr>
              <w:t xml:space="preserve">bk_transaction*</w:t>
            </w:r>
            <w:r>
              <w:t xml:space="preserve">、</w:t>
            </w:r>
            <w:r>
              <w:rPr>
                <w:rStyle w:val="VerbatimChar"/>
              </w:rPr>
              <w:t xml:space="preserve">biz_charge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营业厅、</w:t>
            </w:r>
            <w:r>
              <w:rPr>
                <w:rStyle w:val="VerbatimChar"/>
              </w:rPr>
              <w:t xml:space="preserve">SYS-009</w:t>
            </w:r>
          </w:p>
        </w:tc>
      </w:tr>
    </w:tbl>
    <w:p>
      <w:pPr>
        <w:pStyle w:val="a5"/>
      </w:pPr>
    </w:p>
    <w:bookmarkEnd w:id="25"/>
    <w:bookmarkStart w:id="31" w:name="cs-001-账户绑定管理对齐-wechat-001-wechat-008"/>
    <w:p>
      <w:pPr>
        <w:pStyle w:val="2"/>
      </w:pPr>
      <w:r>
        <w:t xml:space="preserve">CS-001 </w:t>
      </w:r>
      <w:r>
        <w:rPr>
          <w:rFonts w:hint="eastAsia"/>
        </w:rPr>
        <w:t xml:space="preserve">账户绑定管理（对齐</w:t>
      </w:r>
      <w:r>
        <w:t xml:space="preserve"> WECHAT-001 / </w:t>
      </w:r>
      <w:r>
        <w:rPr>
          <w:rFonts w:hint="eastAsia"/>
        </w:rPr>
        <w:t xml:space="preserve">WECHAT-008）</w:t>
      </w:r>
    </w:p>
    <w:bookmarkStart w:id="26" w:name="功能说明"/>
    <w:p>
      <w:pPr>
        <w:pStyle w:val="3"/>
      </w:pPr>
      <w:r>
        <w:rPr>
          <w:rFonts w:hint="eastAsia"/>
        </w:rPr>
        <w:t xml:space="preserve">功能说明</w:t>
      </w:r>
    </w:p>
    <w:p>
      <w:pPr>
        <w:pStyle w:val="FirstParagraph"/>
      </w:pPr>
      <w:r>
        <w:rPr>
          <w:rFonts w:hint="eastAsia"/>
        </w:rPr>
        <w:t xml:space="preserve">面向微信、支付宝、微网厅等渠道实现客户账户绑定、解绑、默认账户设置、多账户切换与身份校验。</w:t>
      </w:r>
    </w:p>
    <w:bookmarkEnd w:id="26"/>
    <w:bookmarkStart w:id="27" w:name="关键规则"/>
    <w:p>
      <w:pPr>
        <w:pStyle w:val="3"/>
      </w:pPr>
      <w:r>
        <w:rPr>
          <w:rFonts w:hint="eastAsia"/>
        </w:rPr>
        <w:t xml:space="preserve">关键规则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一个渠道账户可绑定多个用水账户。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绑定、解绑、默认账户变更等敏感操作需进行身份校验。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已销户、冻结或限制服务的账户不得新增绑定。</w:t>
      </w:r>
    </w:p>
    <w:bookmarkEnd w:id="27"/>
    <w:bookmarkStart w:id="28" w:name="核心数据"/>
    <w:p>
      <w:pPr>
        <w:pStyle w:val="3"/>
      </w:pPr>
      <w:r>
        <w:rPr>
          <w:rFonts w:hint="eastAsia"/>
        </w:rPr>
        <w:t xml:space="preserve">核心数据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biz_cust_app_binds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biz_cust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biz_account</w:t>
      </w:r>
    </w:p>
    <w:bookmarkEnd w:id="28"/>
    <w:bookmarkStart w:id="29" w:name="接口映射"/>
    <w:p>
      <w:pPr>
        <w:pStyle w:val="3"/>
      </w:pPr>
      <w:r>
        <w:rPr>
          <w:rFonts w:hint="eastAsia"/>
        </w:rPr>
        <w:t xml:space="preserve">接口映射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IF-CS-001</w:t>
      </w:r>
      <w:r>
        <w:rPr>
          <w:rFonts w:hint="eastAsia"/>
        </w:rPr>
        <w:t xml:space="preserve">：渠道账户绑定、解绑、默认账户切换。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IF-REV-001</w:t>
      </w:r>
      <w:r>
        <w:rPr>
          <w:rFonts w:hint="eastAsia"/>
        </w:rPr>
        <w:t xml:space="preserve">：客户与账户信息查询，校验绑定对象合法性。</w:t>
      </w:r>
    </w:p>
    <w:bookmarkEnd w:id="29"/>
    <w:bookmarkStart w:id="30" w:name="落地边界"/>
    <w:p>
      <w:pPr>
        <w:pStyle w:val="3"/>
      </w:pPr>
      <w:r>
        <w:rPr>
          <w:rFonts w:hint="eastAsia"/>
        </w:rPr>
        <w:t xml:space="preserve">落地边界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已落地</w:t>
      </w:r>
      <w:r>
        <w:rPr>
          <w:rFonts w:hint="eastAsia"/>
        </w:rPr>
        <w:t xml:space="preserve">：渠道绑定关系、客户与账户主数据引用。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部分落地</w:t>
      </w:r>
      <w:r>
        <w:rPr>
          <w:rFonts w:hint="eastAsia"/>
        </w:rPr>
        <w:t xml:space="preserve">：多渠道同账号合并策略依赖业务规则与运营配置共同控制。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文档先行</w:t>
      </w:r>
      <w:r>
        <w:rPr>
          <w:rFonts w:hint="eastAsia"/>
        </w:rPr>
        <w:t xml:space="preserve">：跨渠道统一身份画像与复杂合并规则仅保留设计语义。</w:t>
      </w:r>
    </w:p>
    <w:p>
      <w:pPr>
        <w:pStyle w:val="FirstParagraph"/>
      </w:pPr>
    </w:p>
    <w:bookmarkEnd w:id="30"/>
    <w:bookmarkEnd w:id="31"/>
    <w:bookmarkStart w:id="37" w:name="cs-002-信息查询服务对齐-wechat-002-wechat-007"/>
    <w:p>
      <w:pPr>
        <w:pStyle w:val="2"/>
      </w:pPr>
      <w:r>
        <w:t xml:space="preserve">CS-002 </w:t>
      </w:r>
      <w:r>
        <w:rPr>
          <w:rFonts w:hint="eastAsia"/>
        </w:rPr>
        <w:t xml:space="preserve">信息查询服务（对齐</w:t>
      </w:r>
      <w:r>
        <w:t xml:space="preserve"> WECHAT-002 / </w:t>
      </w:r>
      <w:r>
        <w:rPr>
          <w:rFonts w:hint="eastAsia"/>
        </w:rPr>
        <w:t xml:space="preserve">WECHAT-007）</w:t>
      </w:r>
    </w:p>
    <w:bookmarkStart w:id="32" w:name="功能说明-1"/>
    <w:p>
      <w:pPr>
        <w:pStyle w:val="3"/>
      </w:pPr>
      <w:r>
        <w:rPr>
          <w:rFonts w:hint="eastAsia"/>
        </w:rPr>
        <w:t xml:space="preserve">功能说明</w:t>
      </w:r>
    </w:p>
    <w:p>
      <w:pPr>
        <w:pStyle w:val="FirstParagraph"/>
      </w:pPr>
      <w:r>
        <w:rPr>
          <w:rFonts w:hint="eastAsia"/>
        </w:rPr>
        <w:t xml:space="preserve">提供账单查询、缴费记录查询、用水分析、欠费查询、账户流水、历史账单等服务。</w:t>
      </w:r>
    </w:p>
    <w:bookmarkEnd w:id="32"/>
    <w:bookmarkStart w:id="33" w:name="关键设计"/>
    <w:p>
      <w:pPr>
        <w:pStyle w:val="3"/>
      </w:pPr>
      <w:r>
        <w:rPr>
          <w:rFonts w:hint="eastAsia"/>
        </w:rPr>
        <w:t xml:space="preserve">关键设计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查询范围严格限制在已绑定客户与账户范围内。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账单、缴费、发票、办理进度等数据通过</w:t>
      </w:r>
      <w:r>
        <w:t xml:space="preserve"> SYS-002 </w:t>
      </w:r>
      <w:r>
        <w:rPr>
          <w:rFonts w:hint="eastAsia"/>
        </w:rPr>
        <w:t xml:space="preserve">标准接口聚合展示。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常用历史数据支持按最近周期快速查询。</w:t>
      </w:r>
    </w:p>
    <w:bookmarkEnd w:id="33"/>
    <w:bookmarkStart w:id="34" w:name="核心数据-1"/>
    <w:p>
      <w:pPr>
        <w:pStyle w:val="3"/>
      </w:pPr>
      <w:r>
        <w:rPr>
          <w:rFonts w:hint="eastAsia"/>
        </w:rPr>
        <w:t xml:space="preserve">核心数据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biz_cust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biz_account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biz_charge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biz_charge_detail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biz_invoice</w:t>
      </w:r>
    </w:p>
    <w:bookmarkEnd w:id="34"/>
    <w:bookmarkStart w:id="35" w:name="接口映射-1"/>
    <w:p>
      <w:pPr>
        <w:pStyle w:val="3"/>
      </w:pPr>
      <w:r>
        <w:rPr>
          <w:rFonts w:hint="eastAsia"/>
        </w:rPr>
        <w:t xml:space="preserve">接口映射</w:t>
      </w:r>
    </w:p>
    <w:p>
      <w:pPr>
        <w:pStyle w:val="Compact"/>
        <w:numPr>
          <w:ilvl w:val="0"/>
          <w:numId w:val="1011"/>
        </w:numPr>
      </w:pPr>
      <w:r>
        <w:rPr>
          <w:rStyle w:val="VerbatimChar"/>
        </w:rPr>
        <w:t xml:space="preserve">IF-CS-002</w:t>
      </w:r>
      <w:r>
        <w:rPr>
          <w:rFonts w:hint="eastAsia"/>
        </w:rPr>
        <w:t xml:space="preserve">：账单、欠费、缴费、用水、发票等聚合查询。</w:t>
      </w:r>
    </w:p>
    <w:p>
      <w:pPr>
        <w:pStyle w:val="Compact"/>
        <w:numPr>
          <w:ilvl w:val="0"/>
          <w:numId w:val="1011"/>
        </w:numPr>
      </w:pPr>
      <w:r>
        <w:rPr>
          <w:rStyle w:val="VerbatimChar"/>
        </w:rPr>
        <w:t xml:space="preserve">IF-REV-001</w:t>
      </w:r>
      <w:r>
        <w:rPr>
          <w:rFonts w:hint="eastAsia"/>
        </w:rPr>
        <w:t xml:space="preserve">：客户基础信息查询与状态校验。</w:t>
      </w:r>
    </w:p>
    <w:p>
      <w:pPr>
        <w:pStyle w:val="Compact"/>
        <w:numPr>
          <w:ilvl w:val="0"/>
          <w:numId w:val="1011"/>
        </w:numPr>
      </w:pPr>
      <w:r>
        <w:rPr>
          <w:rStyle w:val="VerbatimChar"/>
        </w:rPr>
        <w:t xml:space="preserve">IF-REV-010</w:t>
      </w:r>
      <w:r>
        <w:rPr>
          <w:rFonts w:hint="eastAsia"/>
        </w:rPr>
        <w:t xml:space="preserve">：统计类查询场景复用营收统计接口能力。</w:t>
      </w:r>
    </w:p>
    <w:bookmarkEnd w:id="35"/>
    <w:bookmarkStart w:id="36" w:name="落地边界-1"/>
    <w:p>
      <w:pPr>
        <w:pStyle w:val="3"/>
      </w:pPr>
      <w:r>
        <w:rPr>
          <w:rFonts w:hint="eastAsia"/>
        </w:rPr>
        <w:t xml:space="preserve">落地边界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已落地</w:t>
      </w:r>
      <w:r>
        <w:rPr>
          <w:rFonts w:hint="eastAsia"/>
        </w:rPr>
        <w:t xml:space="preserve">：账单、缴费、发票、客户信息等基础查询链路。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部分落地</w:t>
      </w:r>
      <w:r>
        <w:rPr>
          <w:rFonts w:hint="eastAsia"/>
        </w:rPr>
        <w:t xml:space="preserve">：部分专题分析更多依赖报表端，不在渠道侧单独建模。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文档先行</w:t>
      </w:r>
      <w:r>
        <w:rPr>
          <w:rFonts w:hint="eastAsia"/>
        </w:rPr>
        <w:t xml:space="preserve">：个性化推荐与预测分析不作为当前已实现能力表述。</w:t>
      </w:r>
    </w:p>
    <w:p>
      <w:pPr>
        <w:pStyle w:val="FirstParagraph"/>
      </w:pPr>
    </w:p>
    <w:bookmarkEnd w:id="36"/>
    <w:bookmarkEnd w:id="37"/>
    <w:bookmarkStart w:id="44" w:name="cs-003-在线缴费服务对齐-wechat-003"/>
    <w:p>
      <w:pPr>
        <w:pStyle w:val="2"/>
      </w:pPr>
      <w:r>
        <w:t xml:space="preserve">CS-003 </w:t>
      </w:r>
      <w:r>
        <w:rPr>
          <w:rFonts w:hint="eastAsia"/>
        </w:rPr>
        <w:t xml:space="preserve">在线缴费服务（对齐</w:t>
      </w:r>
      <w:r>
        <w:t xml:space="preserve"> </w:t>
      </w:r>
      <w:r>
        <w:rPr>
          <w:rFonts w:hint="eastAsia"/>
        </w:rPr>
        <w:t xml:space="preserve">WECHAT-003）</w:t>
      </w:r>
    </w:p>
    <w:bookmarkStart w:id="38" w:name="功能说明-2"/>
    <w:p>
      <w:pPr>
        <w:pStyle w:val="3"/>
      </w:pPr>
      <w:r>
        <w:rPr>
          <w:rFonts w:hint="eastAsia"/>
        </w:rPr>
        <w:t xml:space="preserve">功能说明</w:t>
      </w:r>
    </w:p>
    <w:p>
      <w:pPr>
        <w:pStyle w:val="FirstParagraph"/>
      </w:pPr>
      <w:r>
        <w:rPr>
          <w:rFonts w:hint="eastAsia"/>
        </w:rPr>
        <w:t xml:space="preserve">提供微信支付、支付宝支付、银行卡支付、预存款支付等在线缴费能力。</w:t>
      </w:r>
    </w:p>
    <w:bookmarkEnd w:id="38"/>
    <w:bookmarkStart w:id="39" w:name="业务流程"/>
    <w:p>
      <w:pPr>
        <w:pStyle w:val="3"/>
      </w:pPr>
      <w:r>
        <w:rPr>
          <w:rFonts w:hint="eastAsia"/>
        </w:rPr>
        <w:t xml:space="preserve">业务流程</w:t>
      </w:r>
    </w:p>
    <w:p>
      <w:pPr>
        <w:pStyle w:val="SourceCode"/>
      </w:pPr>
      <w:r>
        <w:rPr>
          <w:rStyle w:val="VerbatimChar"/>
        </w:rPr>
        <w:t xml:space="preserve">flowchart TD</w:t>
      </w:r>
      <w:r>
        <w:br/>
      </w:r>
      <w:r>
        <w:rPr>
          <w:rStyle w:val="VerbatimChar"/>
        </w:rPr>
        <w:t xml:space="preserve">    </w:t>
      </w:r>
      <w:r>
        <w:rPr>
          <w:rStyle w:val="VerbatimChar"/>
          <w:rFonts w:hint="eastAsia"/>
        </w:rPr>
        <w:t xml:space="preserve">A[提交缴费请求]</w:t>
      </w:r>
      <w:r>
        <w:rPr>
          <w:rStyle w:val="VerbatimChar"/>
        </w:rPr>
        <w:t xml:space="preserve"> --&gt; </w:t>
      </w:r>
      <w:r>
        <w:rPr>
          <w:rStyle w:val="VerbatimChar"/>
          <w:rFonts w:hint="eastAsia"/>
        </w:rPr>
        <w:t xml:space="preserve">B[校验账单与应缴金额]</w:t>
      </w:r>
      <w:r>
        <w:br/>
      </w:r>
      <w:r>
        <w:rPr>
          <w:rStyle w:val="VerbatimChar"/>
        </w:rPr>
        <w:t xml:space="preserve">    B --&gt; </w:t>
      </w:r>
      <w:r>
        <w:rPr>
          <w:rStyle w:val="VerbatimChar"/>
          <w:rFonts w:hint="eastAsia"/>
        </w:rPr>
        <w:t xml:space="preserve">C[创建业务订单]</w:t>
      </w:r>
      <w:r>
        <w:br/>
      </w:r>
      <w:r>
        <w:rPr>
          <w:rStyle w:val="VerbatimChar"/>
        </w:rPr>
        <w:t xml:space="preserve">    C --&gt; </w:t>
      </w:r>
      <w:r>
        <w:rPr>
          <w:rStyle w:val="VerbatimChar"/>
          <w:rFonts w:hint="eastAsia"/>
        </w:rPr>
        <w:t xml:space="preserve">D[调用SYS-009下单]</w:t>
      </w:r>
      <w:r>
        <w:br/>
      </w:r>
      <w:r>
        <w:rPr>
          <w:rStyle w:val="VerbatimChar"/>
        </w:rPr>
        <w:t xml:space="preserve">    D --&gt; </w:t>
      </w:r>
      <w:r>
        <w:rPr>
          <w:rStyle w:val="VerbatimChar"/>
          <w:rFonts w:hint="eastAsia"/>
        </w:rPr>
        <w:t xml:space="preserve">E[接收支付回调/查询结果]</w:t>
      </w:r>
      <w:r>
        <w:br/>
      </w:r>
      <w:r>
        <w:rPr>
          <w:rStyle w:val="VerbatimChar"/>
        </w:rPr>
        <w:t xml:space="preserve">    E --&gt; </w:t>
      </w:r>
      <w:r>
        <w:rPr>
          <w:rStyle w:val="VerbatimChar"/>
          <w:rFonts w:hint="eastAsia"/>
        </w:rPr>
        <w:t xml:space="preserve">F[更新核销状态]</w:t>
      </w:r>
      <w:r>
        <w:br/>
      </w:r>
      <w:r>
        <w:rPr>
          <w:rStyle w:val="VerbatimChar"/>
        </w:rPr>
        <w:t xml:space="preserve">    F --&gt; </w:t>
      </w:r>
      <w:r>
        <w:rPr>
          <w:rStyle w:val="VerbatimChar"/>
          <w:rFonts w:hint="eastAsia"/>
        </w:rPr>
        <w:t xml:space="preserve">G[返回缴费结果]</w:t>
      </w:r>
    </w:p>
    <w:bookmarkEnd w:id="39"/>
    <w:bookmarkStart w:id="40" w:name="关键规则-1"/>
    <w:p>
      <w:pPr>
        <w:pStyle w:val="3"/>
      </w:pPr>
      <w:r>
        <w:rPr>
          <w:rFonts w:hint="eastAsia"/>
        </w:rPr>
        <w:t xml:space="preserve">关键规则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下单前再次校验账单未缴状态和应缴金额。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支付结果以</w:t>
      </w:r>
      <w:r>
        <w:t xml:space="preserve"> </w:t>
      </w:r>
      <w:r>
        <w:rPr>
          <w:rStyle w:val="VerbatimChar"/>
        </w:rPr>
        <w:t xml:space="preserve">SYS-009</w:t>
      </w:r>
      <w:r>
        <w:t xml:space="preserve"> </w:t>
      </w:r>
      <w:r>
        <w:rPr>
          <w:rFonts w:hint="eastAsia"/>
        </w:rPr>
        <w:t xml:space="preserve">回调/查询确认为准。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对失败订单支持补单、查询与结果回写。</w:t>
      </w:r>
    </w:p>
    <w:bookmarkEnd w:id="40"/>
    <w:bookmarkStart w:id="41" w:name="核心数据-2"/>
    <w:p>
      <w:pPr>
        <w:pStyle w:val="3"/>
      </w:pPr>
      <w:r>
        <w:rPr>
          <w:rFonts w:hint="eastAsia"/>
        </w:rPr>
        <w:t xml:space="preserve">核心数据</w:t>
      </w:r>
    </w:p>
    <w:p>
      <w:pPr>
        <w:pStyle w:val="Compact"/>
        <w:numPr>
          <w:ilvl w:val="0"/>
          <w:numId w:val="1014"/>
        </w:numPr>
      </w:pPr>
      <w:r>
        <w:rPr>
          <w:rStyle w:val="VerbatimChar"/>
        </w:rPr>
        <w:t xml:space="preserve">biz_charge</w:t>
      </w:r>
    </w:p>
    <w:p>
      <w:pPr>
        <w:pStyle w:val="Compact"/>
        <w:numPr>
          <w:ilvl w:val="0"/>
          <w:numId w:val="1014"/>
        </w:numPr>
      </w:pPr>
      <w:r>
        <w:rPr>
          <w:rStyle w:val="VerbatimChar"/>
        </w:rPr>
        <w:t xml:space="preserve">biz_charge_detail</w:t>
      </w:r>
    </w:p>
    <w:p>
      <w:pPr>
        <w:pStyle w:val="Compact"/>
        <w:numPr>
          <w:ilvl w:val="0"/>
          <w:numId w:val="1014"/>
        </w:numPr>
      </w:pPr>
      <w:r>
        <w:rPr>
          <w:rStyle w:val="VerbatimChar"/>
        </w:rPr>
        <w:t xml:space="preserve">bk_transaction</w:t>
      </w:r>
    </w:p>
    <w:p>
      <w:pPr>
        <w:pStyle w:val="Compact"/>
        <w:numPr>
          <w:ilvl w:val="0"/>
          <w:numId w:val="1014"/>
        </w:numPr>
      </w:pPr>
      <w:r>
        <w:rPr>
          <w:rStyle w:val="VerbatimChar"/>
        </w:rPr>
        <w:t xml:space="preserve">bk_transaction_callback</w:t>
      </w:r>
    </w:p>
    <w:bookmarkEnd w:id="41"/>
    <w:bookmarkStart w:id="42" w:name="接口映射-2"/>
    <w:p>
      <w:pPr>
        <w:pStyle w:val="3"/>
      </w:pPr>
      <w:r>
        <w:rPr>
          <w:rFonts w:hint="eastAsia"/>
        </w:rPr>
        <w:t xml:space="preserve">接口映射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IF-CS-003</w:t>
      </w:r>
      <w:r>
        <w:rPr>
          <w:rFonts w:hint="eastAsia"/>
        </w:rPr>
        <w:t xml:space="preserve">：客户渠道支付下单入口。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IF-EXT-004</w:t>
      </w:r>
      <w:r>
        <w:t xml:space="preserve">、</w:t>
      </w:r>
      <w:r>
        <w:rPr>
          <w:rStyle w:val="VerbatimChar"/>
        </w:rPr>
        <w:t xml:space="preserve">IF-EXT-005</w:t>
      </w:r>
      <w:r>
        <w:rPr>
          <w:rFonts w:hint="eastAsia"/>
        </w:rPr>
        <w:t xml:space="preserve">：支付下单协同与结果回写。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IF-REV-006</w:t>
      </w:r>
      <w:r>
        <w:rPr>
          <w:rFonts w:hint="eastAsia"/>
        </w:rPr>
        <w:t xml:space="preserve">：账单核销与收费状态更新。</w:t>
      </w:r>
    </w:p>
    <w:bookmarkEnd w:id="42"/>
    <w:bookmarkStart w:id="43" w:name="落地边界-2"/>
    <w:p>
      <w:pPr>
        <w:pStyle w:val="3"/>
      </w:pPr>
      <w:r>
        <w:rPr>
          <w:rFonts w:hint="eastAsia"/>
        </w:rPr>
        <w:t xml:space="preserve">落地边界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已落地</w:t>
      </w:r>
      <w:r>
        <w:rPr>
          <w:rFonts w:hint="eastAsia"/>
        </w:rPr>
        <w:t xml:space="preserve">：渠道下单、支付回调、账单核销主链路。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部分落地</w:t>
      </w:r>
      <w:r>
        <w:rPr>
          <w:rFonts w:hint="eastAsia"/>
        </w:rPr>
        <w:t xml:space="preserve">：失败补偿策略部分由支付平台与人工复核协同处理。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文档先行</w:t>
      </w:r>
      <w:r>
        <w:rPr>
          <w:rFonts w:hint="eastAsia"/>
        </w:rPr>
        <w:t xml:space="preserve">：复杂营销组合支付与分账能力暂不宣称为已实现。</w:t>
      </w:r>
    </w:p>
    <w:p>
      <w:pPr>
        <w:pStyle w:val="FirstParagraph"/>
      </w:pPr>
    </w:p>
    <w:bookmarkEnd w:id="43"/>
    <w:bookmarkEnd w:id="44"/>
    <w:bookmarkStart w:id="50" w:name="cs-004-电子发票服务对齐-wechat-004"/>
    <w:p>
      <w:pPr>
        <w:pStyle w:val="2"/>
      </w:pPr>
      <w:r>
        <w:t xml:space="preserve">CS-004 </w:t>
      </w:r>
      <w:r>
        <w:rPr>
          <w:rFonts w:hint="eastAsia"/>
        </w:rPr>
        <w:t xml:space="preserve">电子发票服务（对齐</w:t>
      </w:r>
      <w:r>
        <w:t xml:space="preserve"> </w:t>
      </w:r>
      <w:r>
        <w:rPr>
          <w:rFonts w:hint="eastAsia"/>
        </w:rPr>
        <w:t xml:space="preserve">WECHAT-004）</w:t>
      </w:r>
    </w:p>
    <w:bookmarkStart w:id="45" w:name="功能说明-3"/>
    <w:p>
      <w:pPr>
        <w:pStyle w:val="3"/>
      </w:pPr>
      <w:r>
        <w:rPr>
          <w:rFonts w:hint="eastAsia"/>
        </w:rPr>
        <w:t xml:space="preserve">功能说明</w:t>
      </w:r>
    </w:p>
    <w:p>
      <w:pPr>
        <w:pStyle w:val="FirstParagraph"/>
      </w:pPr>
      <w:r>
        <w:rPr>
          <w:rFonts w:hint="eastAsia"/>
        </w:rPr>
        <w:t xml:space="preserve">在客户渠道中提供电子发票申请、查询、下载以及缴费后发票推送能力。</w:t>
      </w:r>
    </w:p>
    <w:bookmarkEnd w:id="45"/>
    <w:bookmarkStart w:id="46" w:name="关键设计-1"/>
    <w:p>
      <w:pPr>
        <w:pStyle w:val="3"/>
      </w:pPr>
      <w:r>
        <w:rPr>
          <w:rFonts w:hint="eastAsia"/>
        </w:rPr>
        <w:t xml:space="preserve">关键设计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电子发票开具能力经</w:t>
      </w:r>
      <w:r>
        <w:t xml:space="preserve"> </w:t>
      </w:r>
      <w:r>
        <w:rPr>
          <w:rStyle w:val="VerbatimChar"/>
        </w:rPr>
        <w:t xml:space="preserve">SYS-008</w:t>
      </w:r>
      <w:r>
        <w:t xml:space="preserve"> </w:t>
      </w:r>
      <w:r>
        <w:rPr>
          <w:rFonts w:hint="eastAsia"/>
        </w:rPr>
        <w:t xml:space="preserve">统一提供。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发票申请与客户开票信息、缴费记录和账单状态联动校验。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发票结果支持下载、查看和渠道推送。</w:t>
      </w:r>
    </w:p>
    <w:bookmarkEnd w:id="46"/>
    <w:bookmarkStart w:id="47" w:name="核心数据-3"/>
    <w:p>
      <w:pPr>
        <w:pStyle w:val="3"/>
      </w:pPr>
      <w:r>
        <w:rPr>
          <w:rFonts w:hint="eastAsia"/>
        </w:rPr>
        <w:t xml:space="preserve">核心数据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biz_invoice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biz_cust_invoice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biz_invoice_taxrate</w:t>
      </w:r>
    </w:p>
    <w:bookmarkEnd w:id="47"/>
    <w:bookmarkStart w:id="48" w:name="接口映射-3"/>
    <w:p>
      <w:pPr>
        <w:pStyle w:val="3"/>
      </w:pPr>
      <w:r>
        <w:rPr>
          <w:rFonts w:hint="eastAsia"/>
        </w:rPr>
        <w:t xml:space="preserve">接口映射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IF-CS-004</w:t>
      </w:r>
      <w:r>
        <w:rPr>
          <w:rFonts w:hint="eastAsia"/>
        </w:rPr>
        <w:t xml:space="preserve">：客户侧发票申请与状态查询。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IF-EXT-006</w:t>
      </w:r>
      <w:r>
        <w:t xml:space="preserve">、</w:t>
      </w:r>
      <w:r>
        <w:rPr>
          <w:rStyle w:val="VerbatimChar"/>
        </w:rPr>
        <w:t xml:space="preserve">IF-EXT-007</w:t>
      </w:r>
      <w:r>
        <w:rPr>
          <w:rFonts w:hint="eastAsia"/>
        </w:rPr>
        <w:t xml:space="preserve">：发票开具协同与结果回写。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IF-REV-008</w:t>
      </w:r>
      <w:r>
        <w:rPr>
          <w:rFonts w:hint="eastAsia"/>
        </w:rPr>
        <w:t xml:space="preserve">：营收侧发票主流程协同。</w:t>
      </w:r>
    </w:p>
    <w:bookmarkEnd w:id="48"/>
    <w:bookmarkStart w:id="49" w:name="落地边界-3"/>
    <w:p>
      <w:pPr>
        <w:pStyle w:val="3"/>
      </w:pPr>
      <w:r>
        <w:rPr>
          <w:rFonts w:hint="eastAsia"/>
        </w:rPr>
        <w:t xml:space="preserve">落地边界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已落地</w:t>
      </w:r>
      <w:r>
        <w:rPr>
          <w:rFonts w:hint="eastAsia"/>
        </w:rPr>
        <w:t xml:space="preserve">：发票申请、开票信息校验、开票结果回写。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部分落地</w:t>
      </w:r>
      <w:r>
        <w:rPr>
          <w:rFonts w:hint="eastAsia"/>
        </w:rPr>
        <w:t xml:space="preserve">：红冲、补开等复杂票据后处理以发票服务能力为主。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文档先行</w:t>
      </w:r>
      <w:r>
        <w:rPr>
          <w:rFonts w:hint="eastAsia"/>
        </w:rPr>
        <w:t xml:space="preserve">：多税率拆票、批量异步重试等高级策略仅保留设计语义。</w:t>
      </w:r>
    </w:p>
    <w:p>
      <w:pPr>
        <w:pStyle w:val="FirstParagraph"/>
      </w:pPr>
    </w:p>
    <w:bookmarkEnd w:id="49"/>
    <w:bookmarkEnd w:id="50"/>
    <w:bookmarkStart w:id="56" w:name="cs-005-营业网点服务对齐-wechat-005"/>
    <w:p>
      <w:pPr>
        <w:pStyle w:val="2"/>
      </w:pPr>
      <w:r>
        <w:t xml:space="preserve">CS-005 </w:t>
      </w:r>
      <w:r>
        <w:rPr>
          <w:rFonts w:hint="eastAsia"/>
        </w:rPr>
        <w:t xml:space="preserve">营业网点服务（对齐</w:t>
      </w:r>
      <w:r>
        <w:t xml:space="preserve"> </w:t>
      </w:r>
      <w:r>
        <w:rPr>
          <w:rFonts w:hint="eastAsia"/>
        </w:rPr>
        <w:t xml:space="preserve">WECHAT-005）</w:t>
      </w:r>
    </w:p>
    <w:bookmarkStart w:id="51" w:name="功能说明-4"/>
    <w:p>
      <w:pPr>
        <w:pStyle w:val="3"/>
      </w:pPr>
      <w:r>
        <w:rPr>
          <w:rFonts w:hint="eastAsia"/>
        </w:rPr>
        <w:t xml:space="preserve">功能说明</w:t>
      </w:r>
    </w:p>
    <w:p>
      <w:pPr>
        <w:pStyle w:val="FirstParagraph"/>
      </w:pPr>
      <w:r>
        <w:rPr>
          <w:rFonts w:hint="eastAsia"/>
        </w:rPr>
        <w:t xml:space="preserve">提供营业网点查询、服务范围查看、办事指引与营业时间展示能力。</w:t>
      </w:r>
    </w:p>
    <w:bookmarkEnd w:id="51"/>
    <w:bookmarkStart w:id="52" w:name="关键设计-2"/>
    <w:p>
      <w:pPr>
        <w:pStyle w:val="3"/>
      </w:pPr>
      <w:r>
        <w:rPr>
          <w:rFonts w:hint="eastAsia"/>
        </w:rPr>
        <w:t xml:space="preserve">关键设计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网点信息展示地址、联系电话、营业时间与可办理业务范围。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网点服务以查询与引导为主，不在本模块中虚构额外业务实体表。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与</w:t>
      </w:r>
      <w:r>
        <w:t xml:space="preserve"> CS-006 </w:t>
      </w:r>
      <w:r>
        <w:rPr>
          <w:rFonts w:hint="eastAsia"/>
        </w:rPr>
        <w:t xml:space="preserve">业务办理服务协同，支持从网点查询跳转到线上办理。</w:t>
      </w:r>
    </w:p>
    <w:bookmarkEnd w:id="52"/>
    <w:bookmarkStart w:id="53" w:name="核心数据-4"/>
    <w:p>
      <w:pPr>
        <w:pStyle w:val="3"/>
      </w:pPr>
      <w:r>
        <w:rPr>
          <w:rFonts w:hint="eastAsia"/>
        </w:rPr>
        <w:t xml:space="preserve">核心数据</w:t>
      </w:r>
    </w:p>
    <w:p>
      <w:pPr>
        <w:pStyle w:val="Compact"/>
        <w:numPr>
          <w:ilvl w:val="0"/>
          <w:numId w:val="1022"/>
        </w:numPr>
      </w:pPr>
      <w:r>
        <w:rPr>
          <w:rStyle w:val="VerbatimChar"/>
        </w:rPr>
        <w:t xml:space="preserve">biz_outlets</w:t>
      </w:r>
    </w:p>
    <w:p>
      <w:pPr>
        <w:pStyle w:val="Compact"/>
        <w:numPr>
          <w:ilvl w:val="0"/>
          <w:numId w:val="1022"/>
        </w:numPr>
      </w:pPr>
      <w:r>
        <w:rPr>
          <w:rStyle w:val="VerbatimChar"/>
        </w:rPr>
        <w:t xml:space="preserve">biz_business_types</w:t>
      </w:r>
    </w:p>
    <w:bookmarkEnd w:id="53"/>
    <w:bookmarkStart w:id="54" w:name="接口映射-4"/>
    <w:p>
      <w:pPr>
        <w:pStyle w:val="3"/>
      </w:pPr>
      <w:r>
        <w:rPr>
          <w:rFonts w:hint="eastAsia"/>
        </w:rPr>
        <w:t xml:space="preserve">接口映射</w:t>
      </w:r>
    </w:p>
    <w:p>
      <w:pPr>
        <w:pStyle w:val="Compact"/>
        <w:numPr>
          <w:ilvl w:val="0"/>
          <w:numId w:val="1023"/>
        </w:numPr>
      </w:pPr>
      <w:r>
        <w:rPr>
          <w:rStyle w:val="VerbatimChar"/>
        </w:rPr>
        <w:t xml:space="preserve">IF-CS-005</w:t>
      </w:r>
      <w:r>
        <w:rPr>
          <w:rFonts w:hint="eastAsia"/>
        </w:rPr>
        <w:t xml:space="preserve">：网点信息、可办事项、预约入口查询。</w:t>
      </w:r>
    </w:p>
    <w:bookmarkEnd w:id="54"/>
    <w:bookmarkStart w:id="55" w:name="落地边界-4"/>
    <w:p>
      <w:pPr>
        <w:pStyle w:val="3"/>
      </w:pPr>
      <w:r>
        <w:rPr>
          <w:rFonts w:hint="eastAsia"/>
        </w:rPr>
        <w:t xml:space="preserve">落地边界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已落地</w:t>
      </w:r>
      <w:r>
        <w:rPr>
          <w:rFonts w:hint="eastAsia"/>
        </w:rPr>
        <w:t xml:space="preserve">：网点查询与办事引导能力。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部分落地</w:t>
      </w:r>
      <w:r>
        <w:rPr>
          <w:rFonts w:hint="eastAsia"/>
        </w:rPr>
        <w:t xml:space="preserve">：预约排队等能力可能由外部排队系统承载。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文档先行</w:t>
      </w:r>
      <w:r>
        <w:rPr>
          <w:rFonts w:hint="eastAsia"/>
        </w:rPr>
        <w:t xml:space="preserve">：导航路线规划与实时客流预测仅保留扩展方向。</w:t>
      </w:r>
    </w:p>
    <w:p>
      <w:pPr>
        <w:pStyle w:val="FirstParagraph"/>
      </w:pPr>
    </w:p>
    <w:bookmarkEnd w:id="55"/>
    <w:bookmarkEnd w:id="56"/>
    <w:bookmarkStart w:id="62" w:name="cs-006-业务办理服务对齐-wechat-006"/>
    <w:p>
      <w:pPr>
        <w:pStyle w:val="2"/>
      </w:pPr>
      <w:r>
        <w:t xml:space="preserve">CS-006 </w:t>
      </w:r>
      <w:r>
        <w:rPr>
          <w:rFonts w:hint="eastAsia"/>
        </w:rPr>
        <w:t xml:space="preserve">业务办理服务（对齐</w:t>
      </w:r>
      <w:r>
        <w:t xml:space="preserve"> </w:t>
      </w:r>
      <w:r>
        <w:rPr>
          <w:rFonts w:hint="eastAsia"/>
        </w:rPr>
        <w:t xml:space="preserve">WECHAT-006）</w:t>
      </w:r>
    </w:p>
    <w:bookmarkStart w:id="57" w:name="功能说明-5"/>
    <w:p>
      <w:pPr>
        <w:pStyle w:val="3"/>
      </w:pPr>
      <w:r>
        <w:rPr>
          <w:rFonts w:hint="eastAsia"/>
        </w:rPr>
        <w:t xml:space="preserve">功能说明</w:t>
      </w:r>
    </w:p>
    <w:p>
      <w:pPr>
        <w:pStyle w:val="FirstParagraph"/>
      </w:pPr>
      <w:r>
        <w:rPr>
          <w:rFonts w:hint="eastAsia"/>
        </w:rPr>
        <w:t xml:space="preserve">提供更名、过户、联系方式变更、开票方式变更、一户多人口、自主抄表、换表申请等线上业务办理入口。</w:t>
      </w:r>
    </w:p>
    <w:bookmarkEnd w:id="57"/>
    <w:bookmarkStart w:id="58" w:name="关键设计-3"/>
    <w:p>
      <w:pPr>
        <w:pStyle w:val="3"/>
      </w:pPr>
      <w:r>
        <w:rPr>
          <w:rFonts w:hint="eastAsia"/>
        </w:rPr>
        <w:t xml:space="preserve">关键设计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业务办理统一调用工单/流程能力，不与后台流程表重复建模。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办理结果与客户资料、工单状态、报装或表务流程联动更新。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触达通知通过</w:t>
      </w:r>
      <w:r>
        <w:t xml:space="preserve"> </w:t>
      </w:r>
      <w:r>
        <w:rPr>
          <w:rStyle w:val="VerbatimChar"/>
        </w:rPr>
        <w:t xml:space="preserve">SYS-010</w:t>
      </w:r>
      <w:r>
        <w:t xml:space="preserve"> </w:t>
      </w:r>
      <w:r>
        <w:rPr>
          <w:rFonts w:hint="eastAsia"/>
        </w:rPr>
        <w:t xml:space="preserve">完成结果通知。</w:t>
      </w:r>
    </w:p>
    <w:bookmarkEnd w:id="58"/>
    <w:bookmarkStart w:id="59" w:name="核心数据-5"/>
    <w:p>
      <w:pPr>
        <w:pStyle w:val="3"/>
      </w:pPr>
      <w:r>
        <w:rPr>
          <w:rFonts w:hint="eastAsia"/>
        </w:rPr>
        <w:t xml:space="preserve">核心数据</w:t>
      </w:r>
    </w:p>
    <w:p>
      <w:pPr>
        <w:pStyle w:val="Compact"/>
        <w:numPr>
          <w:ilvl w:val="0"/>
          <w:numId w:val="1026"/>
        </w:numPr>
      </w:pPr>
      <w:r>
        <w:rPr>
          <w:rStyle w:val="VerbatimChar"/>
        </w:rPr>
        <w:t xml:space="preserve">biz_process</w:t>
      </w:r>
    </w:p>
    <w:p>
      <w:pPr>
        <w:pStyle w:val="Compact"/>
        <w:numPr>
          <w:ilvl w:val="0"/>
          <w:numId w:val="1026"/>
        </w:numPr>
      </w:pPr>
      <w:r>
        <w:rPr>
          <w:rStyle w:val="VerbatimChar"/>
        </w:rPr>
        <w:t xml:space="preserve">biz_process_transfer</w:t>
      </w:r>
    </w:p>
    <w:p>
      <w:pPr>
        <w:pStyle w:val="Compact"/>
        <w:numPr>
          <w:ilvl w:val="0"/>
          <w:numId w:val="1026"/>
        </w:numPr>
      </w:pPr>
      <w:r>
        <w:rPr>
          <w:rStyle w:val="VerbatimChar"/>
        </w:rPr>
        <w:t xml:space="preserve">biz_content_attach</w:t>
      </w:r>
    </w:p>
    <w:bookmarkEnd w:id="59"/>
    <w:bookmarkStart w:id="60" w:name="接口映射-5"/>
    <w:p>
      <w:pPr>
        <w:pStyle w:val="3"/>
      </w:pPr>
      <w:r>
        <w:rPr>
          <w:rFonts w:hint="eastAsia"/>
        </w:rPr>
        <w:t xml:space="preserve">接口映射</w:t>
      </w:r>
    </w:p>
    <w:p>
      <w:pPr>
        <w:pStyle w:val="Compact"/>
        <w:numPr>
          <w:ilvl w:val="0"/>
          <w:numId w:val="1027"/>
        </w:numPr>
      </w:pPr>
      <w:r>
        <w:rPr>
          <w:rStyle w:val="VerbatimChar"/>
        </w:rPr>
        <w:t xml:space="preserve">IF-CS-006</w:t>
      </w:r>
      <w:r>
        <w:rPr>
          <w:rFonts w:hint="eastAsia"/>
        </w:rPr>
        <w:t xml:space="preserve">：办理申请提交、进度查询、补件上传。</w:t>
      </w:r>
    </w:p>
    <w:p>
      <w:pPr>
        <w:pStyle w:val="Compact"/>
        <w:numPr>
          <w:ilvl w:val="0"/>
          <w:numId w:val="1027"/>
        </w:numPr>
      </w:pPr>
      <w:r>
        <w:rPr>
          <w:rStyle w:val="VerbatimChar"/>
        </w:rPr>
        <w:t xml:space="preserve">IF-EXT-008</w:t>
      </w:r>
      <w:r>
        <w:rPr>
          <w:rFonts w:hint="eastAsia"/>
        </w:rPr>
        <w:t xml:space="preserve">：办理结果通知协同。</w:t>
      </w:r>
    </w:p>
    <w:bookmarkEnd w:id="60"/>
    <w:bookmarkStart w:id="61" w:name="落地边界-5"/>
    <w:p>
      <w:pPr>
        <w:pStyle w:val="3"/>
      </w:pPr>
      <w:r>
        <w:rPr>
          <w:rFonts w:hint="eastAsia"/>
        </w:rPr>
        <w:t xml:space="preserve">落地边界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  <w:b/>
          <w:bCs/>
        </w:rPr>
        <w:t xml:space="preserve">已落地</w:t>
      </w:r>
      <w:r>
        <w:rPr>
          <w:rFonts w:hint="eastAsia"/>
        </w:rPr>
        <w:t xml:space="preserve">：办理申请、进度查询、补件与状态联动。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  <w:b/>
          <w:bCs/>
        </w:rPr>
        <w:t xml:space="preserve">部分落地</w:t>
      </w:r>
      <w:r>
        <w:rPr>
          <w:rFonts w:hint="eastAsia"/>
        </w:rPr>
        <w:t xml:space="preserve">：复杂跨部门并行审批流程依赖后端流程引擎配置。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  <w:b/>
          <w:bCs/>
        </w:rPr>
        <w:t xml:space="preserve">文档先行</w:t>
      </w:r>
      <w:r>
        <w:rPr>
          <w:rFonts w:hint="eastAsia"/>
        </w:rPr>
        <w:t xml:space="preserve">：智能预审与自动分单规则暂不表述为已实现能力。</w:t>
      </w:r>
    </w:p>
    <w:p>
      <w:pPr>
        <w:pStyle w:val="FirstParagraph"/>
      </w:pPr>
    </w:p>
    <w:bookmarkEnd w:id="61"/>
    <w:bookmarkEnd w:id="62"/>
    <w:bookmarkStart w:id="69" w:name="cs-007-柜面扫码支付"/>
    <w:p>
      <w:pPr>
        <w:pStyle w:val="2"/>
      </w:pPr>
      <w:r>
        <w:t xml:space="preserve">CS-007 </w:t>
      </w:r>
      <w:r>
        <w:rPr>
          <w:rFonts w:hint="eastAsia"/>
        </w:rPr>
        <w:t xml:space="preserve">柜面扫码支付</w:t>
      </w:r>
    </w:p>
    <w:bookmarkStart w:id="63" w:name="功能说明-6"/>
    <w:p>
      <w:pPr>
        <w:pStyle w:val="3"/>
      </w:pPr>
      <w:r>
        <w:rPr>
          <w:rFonts w:hint="eastAsia"/>
        </w:rPr>
        <w:t xml:space="preserve">功能说明</w:t>
      </w:r>
    </w:p>
    <w:p>
      <w:pPr>
        <w:pStyle w:val="FirstParagraph"/>
      </w:pPr>
      <w:r>
        <w:rPr>
          <w:rFonts w:hint="eastAsia"/>
        </w:rPr>
        <w:t xml:space="preserve">支持营业厅柜台二维码收款、票据关联、结果回传，是柜台收费场景对线上支付能力的补充入口。</w:t>
      </w:r>
    </w:p>
    <w:bookmarkEnd w:id="63"/>
    <w:bookmarkStart w:id="64" w:name="业务流程-1"/>
    <w:p>
      <w:pPr>
        <w:pStyle w:val="3"/>
      </w:pPr>
      <w:r>
        <w:rPr>
          <w:rFonts w:hint="eastAsia"/>
        </w:rPr>
        <w:t xml:space="preserve">业务流程</w:t>
      </w:r>
    </w:p>
    <w:p>
      <w:pPr>
        <w:pStyle w:val="SourceCode"/>
      </w:pPr>
      <w:r>
        <w:rPr>
          <w:rStyle w:val="VerbatimChar"/>
        </w:rPr>
        <w:t xml:space="preserve">flowchart TD</w:t>
      </w:r>
      <w:r>
        <w:br/>
      </w:r>
      <w:r>
        <w:rPr>
          <w:rStyle w:val="VerbatimChar"/>
        </w:rPr>
        <w:t xml:space="preserve">    </w:t>
      </w:r>
      <w:r>
        <w:rPr>
          <w:rStyle w:val="VerbatimChar"/>
          <w:rFonts w:hint="eastAsia"/>
        </w:rPr>
        <w:t xml:space="preserve">A[柜面发起扫码收款]</w:t>
      </w:r>
      <w:r>
        <w:rPr>
          <w:rStyle w:val="VerbatimChar"/>
        </w:rPr>
        <w:t xml:space="preserve"> --&gt; </w:t>
      </w:r>
      <w:r>
        <w:rPr>
          <w:rStyle w:val="VerbatimChar"/>
          <w:rFonts w:hint="eastAsia"/>
        </w:rPr>
        <w:t xml:space="preserve">B[生成支付订单]</w:t>
      </w:r>
      <w:r>
        <w:br/>
      </w:r>
      <w:r>
        <w:rPr>
          <w:rStyle w:val="VerbatimChar"/>
        </w:rPr>
        <w:t xml:space="preserve">    B --&gt; </w:t>
      </w:r>
      <w:r>
        <w:rPr>
          <w:rStyle w:val="VerbatimChar"/>
          <w:rFonts w:hint="eastAsia"/>
        </w:rPr>
        <w:t xml:space="preserve">C[客户扫码支付]</w:t>
      </w:r>
      <w:r>
        <w:br/>
      </w:r>
      <w:r>
        <w:rPr>
          <w:rStyle w:val="VerbatimChar"/>
        </w:rPr>
        <w:t xml:space="preserve">    C --&gt; </w:t>
      </w:r>
      <w:r>
        <w:rPr>
          <w:rStyle w:val="VerbatimChar"/>
          <w:rFonts w:hint="eastAsia"/>
        </w:rPr>
        <w:t xml:space="preserve">D[接收支付结果回写]</w:t>
      </w:r>
      <w:r>
        <w:br/>
      </w:r>
      <w:r>
        <w:rPr>
          <w:rStyle w:val="VerbatimChar"/>
        </w:rPr>
        <w:t xml:space="preserve">    D --&gt; </w:t>
      </w:r>
      <w:r>
        <w:rPr>
          <w:rStyle w:val="VerbatimChar"/>
          <w:rFonts w:hint="eastAsia"/>
        </w:rPr>
        <w:t xml:space="preserve">E[更新账单核销状态]</w:t>
      </w:r>
      <w:r>
        <w:br/>
      </w:r>
      <w:r>
        <w:rPr>
          <w:rStyle w:val="VerbatimChar"/>
        </w:rPr>
        <w:t xml:space="preserve">    E --&gt; </w:t>
      </w:r>
      <w:r>
        <w:rPr>
          <w:rStyle w:val="VerbatimChar"/>
          <w:rFonts w:hint="eastAsia"/>
        </w:rPr>
        <w:t xml:space="preserve">F[打印或展示收费凭证]</w:t>
      </w:r>
    </w:p>
    <w:bookmarkEnd w:id="64"/>
    <w:bookmarkStart w:id="65" w:name="关键设计-4"/>
    <w:p>
      <w:pPr>
        <w:pStyle w:val="3"/>
      </w:pPr>
      <w:r>
        <w:rPr>
          <w:rFonts w:hint="eastAsia"/>
        </w:rPr>
        <w:t xml:space="preserve">关键设计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柜面扫码支付与</w:t>
      </w:r>
      <w:r>
        <w:t xml:space="preserve"> REV-003 </w:t>
      </w:r>
      <w:r>
        <w:rPr>
          <w:rFonts w:hint="eastAsia"/>
        </w:rPr>
        <w:t xml:space="preserve">营业收费统一核销口径。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支付结果与交易流水经</w:t>
      </w:r>
      <w:r>
        <w:t xml:space="preserve"> </w:t>
      </w:r>
      <w:r>
        <w:rPr>
          <w:rStyle w:val="VerbatimChar"/>
        </w:rPr>
        <w:t xml:space="preserve">SYS-009</w:t>
      </w:r>
      <w:r>
        <w:t xml:space="preserve"> </w:t>
      </w:r>
      <w:r>
        <w:rPr>
          <w:rFonts w:hint="eastAsia"/>
        </w:rPr>
        <w:t xml:space="preserve">回传后更新收费状态。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支持支付凭证、发票申请与收费记录联动。</w:t>
      </w:r>
    </w:p>
    <w:bookmarkEnd w:id="65"/>
    <w:bookmarkStart w:id="66" w:name="核心数据-6"/>
    <w:p>
      <w:pPr>
        <w:pStyle w:val="3"/>
      </w:pPr>
      <w:r>
        <w:rPr>
          <w:rFonts w:hint="eastAsia"/>
        </w:rPr>
        <w:t xml:space="preserve">核心数据</w:t>
      </w:r>
    </w:p>
    <w:p>
      <w:pPr>
        <w:pStyle w:val="Compact"/>
        <w:numPr>
          <w:ilvl w:val="0"/>
          <w:numId w:val="1030"/>
        </w:numPr>
      </w:pPr>
      <w:r>
        <w:rPr>
          <w:rStyle w:val="VerbatimChar"/>
        </w:rPr>
        <w:t xml:space="preserve">biz_charge</w:t>
      </w:r>
    </w:p>
    <w:p>
      <w:pPr>
        <w:pStyle w:val="Compact"/>
        <w:numPr>
          <w:ilvl w:val="0"/>
          <w:numId w:val="1030"/>
        </w:numPr>
      </w:pPr>
      <w:r>
        <w:rPr>
          <w:rStyle w:val="VerbatimChar"/>
        </w:rPr>
        <w:t xml:space="preserve">bk_transaction</w:t>
      </w:r>
    </w:p>
    <w:p>
      <w:pPr>
        <w:pStyle w:val="Compact"/>
        <w:numPr>
          <w:ilvl w:val="0"/>
          <w:numId w:val="1030"/>
        </w:numPr>
      </w:pPr>
      <w:r>
        <w:rPr>
          <w:rStyle w:val="VerbatimChar"/>
        </w:rPr>
        <w:t xml:space="preserve">bk_transaction_callback</w:t>
      </w:r>
    </w:p>
    <w:bookmarkEnd w:id="66"/>
    <w:bookmarkStart w:id="67" w:name="接口映射-6"/>
    <w:p>
      <w:pPr>
        <w:pStyle w:val="3"/>
      </w:pPr>
      <w:r>
        <w:rPr>
          <w:rFonts w:hint="eastAsia"/>
        </w:rPr>
        <w:t xml:space="preserve">接口映射</w:t>
      </w:r>
    </w:p>
    <w:p>
      <w:pPr>
        <w:pStyle w:val="Compact"/>
        <w:numPr>
          <w:ilvl w:val="0"/>
          <w:numId w:val="1031"/>
        </w:numPr>
      </w:pPr>
      <w:r>
        <w:rPr>
          <w:rStyle w:val="VerbatimChar"/>
        </w:rPr>
        <w:t xml:space="preserve">IF-CS-007</w:t>
      </w:r>
      <w:r>
        <w:rPr>
          <w:rFonts w:hint="eastAsia"/>
        </w:rPr>
        <w:t xml:space="preserve">：柜面扫码支付订单创建与结果回写。</w:t>
      </w:r>
    </w:p>
    <w:p>
      <w:pPr>
        <w:pStyle w:val="Compact"/>
        <w:numPr>
          <w:ilvl w:val="0"/>
          <w:numId w:val="1031"/>
        </w:numPr>
      </w:pPr>
      <w:r>
        <w:rPr>
          <w:rStyle w:val="VerbatimChar"/>
        </w:rPr>
        <w:t xml:space="preserve">IF-EXT-004</w:t>
      </w:r>
      <w:r>
        <w:t xml:space="preserve">、</w:t>
      </w:r>
      <w:r>
        <w:rPr>
          <w:rStyle w:val="VerbatimChar"/>
        </w:rPr>
        <w:t xml:space="preserve">IF-EXT-005</w:t>
      </w:r>
      <w:r>
        <w:rPr>
          <w:rFonts w:hint="eastAsia"/>
        </w:rPr>
        <w:t xml:space="preserve">：支付渠道协同。</w:t>
      </w:r>
    </w:p>
    <w:p>
      <w:pPr>
        <w:pStyle w:val="Compact"/>
        <w:numPr>
          <w:ilvl w:val="0"/>
          <w:numId w:val="1031"/>
        </w:numPr>
      </w:pPr>
      <w:r>
        <w:rPr>
          <w:rStyle w:val="VerbatimChar"/>
        </w:rPr>
        <w:t xml:space="preserve">IF-REV-006</w:t>
      </w:r>
      <w:r>
        <w:rPr>
          <w:rFonts w:hint="eastAsia"/>
        </w:rPr>
        <w:t xml:space="preserve">：收费核销与账单状态更新。</w:t>
      </w:r>
    </w:p>
    <w:bookmarkEnd w:id="67"/>
    <w:bookmarkStart w:id="68" w:name="落地边界-6"/>
    <w:p>
      <w:pPr>
        <w:pStyle w:val="3"/>
      </w:pPr>
      <w:r>
        <w:rPr>
          <w:rFonts w:hint="eastAsia"/>
        </w:rPr>
        <w:t xml:space="preserve">落地边界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  <w:b/>
          <w:bCs/>
        </w:rPr>
        <w:t xml:space="preserve">已落地</w:t>
      </w:r>
      <w:r>
        <w:rPr>
          <w:rFonts w:hint="eastAsia"/>
        </w:rPr>
        <w:t xml:space="preserve">：柜面扫码收款、支付回写、账单核销协同。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  <w:b/>
          <w:bCs/>
        </w:rPr>
        <w:t xml:space="preserve">部分落地</w:t>
      </w:r>
      <w:r>
        <w:rPr>
          <w:rFonts w:hint="eastAsia"/>
        </w:rPr>
        <w:t xml:space="preserve">：柜台班结与对账汇总由营收后台统一统计。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  <w:b/>
          <w:bCs/>
        </w:rPr>
        <w:t xml:space="preserve">文档先行</w:t>
      </w:r>
      <w:r>
        <w:rPr>
          <w:rFonts w:hint="eastAsia"/>
        </w:rPr>
        <w:t xml:space="preserve">：多终端并发收款冲突治理保留为后续优化方向。</w:t>
      </w:r>
    </w:p>
    <w:bookmarkEnd w:id="68"/>
    <w:bookmarkEnd w:id="69"/>
    <w:bookmarkEnd w:id="70"/>
    <w:sectPr w:rsidR="00E12D4E">
      <w:headerReference r:id="rId9" w:type="default"/>
      <w:headerReference r:id="rId14" w:type="first"/>
      <w:footnotePr>
        <w:pos w:val="beneathText"/>
      </w:footnotePr>
      <w:pgSz w:h="16838" w:w="11906"/>
      <w:pgMar w:bottom="1418" w:footer="992" w:gutter="0" w:header="851" w:left="1418" w:right="1134" w:top="1418"/>
      <w:pgNumType w:start="1"/>
      <w:cols w:space="720"/>
      <w:titlePg/>
      <w:docGrid w:linePitch="312" w:type="linesAndChars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ohit Devanagari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Liberation Sans">
    <w:altName w:val="苹方-简"/>
    <w:charset w:val="00"/>
    <w:family w:val="swiss"/>
    <w:pitch w:val="default"/>
    <w:sig w:usb0="00000000" w:usb1="00000000" w:usb2="00000000" w:usb3="00000000" w:csb0="00040001" w:csb1="00000000"/>
  </w:font>
  <w:font w:name="Noto Sans CJK SC">
    <w:altName w:val="苹方-简"/>
    <w:charset w:val="00"/>
    <w:family w:val="auto"/>
    <w:pitch w:val="default"/>
    <w:sig w:usb0="00000000" w:usb1="00000000" w:usb2="00000000" w:usb3="00000000" w:csb0="00040001" w:csb1="00000000"/>
  </w:font>
  <w:font w:name="Garamond">
    <w:altName w:val="苹方-简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2EC17" w14:textId="77777777" w:rsidR="00E12D4E" w:rsidRDefault="00656DB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70E6468" wp14:editId="5E2ED467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5B9939" w14:textId="77777777" w:rsidR="00E12D4E" w:rsidRDefault="00656DB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0E6468"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6" type="#_x0000_t202" style="position:absolute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" filled="f" stroked="f">
              <v:textbox style="mso-fit-shape-to-text:t" inset="0,0,0,0">
                <w:txbxContent>
                  <w:p w14:paraId="765B9939" w14:textId="77777777" w:rsidR="00E12D4E" w:rsidRDefault="00656DB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611BD" w14:textId="77777777" w:rsidR="00E12D4E" w:rsidRDefault="00656DB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975F77" wp14:editId="5B362F39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DC5E40" w14:textId="77777777" w:rsidR="00E12D4E" w:rsidRDefault="00656DB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975F77"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7" type="#_x0000_t202" style="position:absolute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" filled="f" stroked="f">
              <v:textbox style="mso-fit-shape-to-text:t" inset="0,0,0,0">
                <w:txbxContent>
                  <w:p w14:paraId="14DC5E40" w14:textId="77777777" w:rsidR="00E12D4E" w:rsidRDefault="00656DB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F4052" w14:textId="77777777" w:rsidR="00E12D4E" w:rsidRDefault="00E12D4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37D82" w14:textId="77777777" w:rsidR="00E12D4E" w:rsidRDefault="00656DB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BE7320" wp14:editId="4D536F29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822BE1" w14:textId="77777777" w:rsidR="00E12D4E" w:rsidRDefault="00656DB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BE7320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8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" filled="f" stroked="f">
              <v:textbox style="mso-fit-shape-to-text:t" inset="0,0,0,0">
                <w:txbxContent>
                  <w:p w14:paraId="55822BE1" w14:textId="77777777" w:rsidR="00E12D4E" w:rsidRDefault="00656DB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65153" w14:textId="77777777" w:rsidR="00E12D4E" w:rsidRDefault="00E12D4E"/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3CD8A" w14:textId="77777777" w:rsidR="00E12D4E" w:rsidRDefault="00656DBF">
    <w:pPr>
      <w:pStyle w:val="a7"/>
      <w:pBdr>
        <w:bottom w:val="single" w:sz="6" w:space="0" w:color="000000"/>
      </w:pBdr>
      <w:jc w:val="distribute"/>
    </w:pPr>
    <w:r>
      <w:rPr>
        <w:rFonts w:hint="eastAsia"/>
      </w:rPr>
      <w:t>XXXXXX</w:t>
    </w:r>
    <w:r>
      <w:rPr>
        <w:rFonts w:hint="eastAsia"/>
      </w:rPr>
      <w:t>操作手册</w:t>
    </w:r>
    <w:r>
      <w:rPr>
        <w:rFonts w:hint="eastAsia"/>
      </w:rPr>
      <w:t xml:space="preserve">                                                     </w:t>
    </w:r>
    <w:r>
      <w:rPr>
        <w:rFonts w:hint="eastAsia"/>
      </w:rPr>
      <w:t>福建省水投数字科技有限公司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7D24B" w14:textId="77777777" w:rsidR="00E12D4E" w:rsidRDefault="00656DBF">
    <w:pPr>
      <w:pStyle w:val="a7"/>
      <w:pBdr>
        <w:bottom w:val="none" w:sz="0" w:space="0" w:color="auto"/>
      </w:pBdr>
      <w:jc w:val="distribute"/>
      <w:rPr>
        <w:rFonts w:ascii="宋体" w:hAnsi="宋体" w:cs="宋体" w:hint="eastAsia"/>
      </w:rPr>
    </w:pPr>
    <w:r>
      <w:rPr>
        <w:rFonts w:ascii="宋体" w:hAnsi="宋体" w:cs="宋体" w:hint="eastAsia"/>
      </w:rPr>
      <w:t xml:space="preserve">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C9F1E" w14:textId="77777777" w:rsidR="00E12D4E" w:rsidRDefault="00656DBF">
    <w:pPr>
      <w:pStyle w:val="a7"/>
      <w:pBdr>
        <w:bottom w:val="single" w:sz="6" w:space="0" w:color="000000"/>
      </w:pBdr>
      <w:jc w:val="distribute"/>
    </w:pPr>
    <w:r>
      <w:rPr>
        <w:rFonts w:hint="eastAsia"/>
      </w:rPr>
      <w:t>XXXXXX</w:t>
    </w:r>
    <w:r>
      <w:rPr>
        <w:rFonts w:hint="eastAsia"/>
      </w:rPr>
      <w:t>操作手册</w:t>
    </w:r>
    <w:r>
      <w:rPr>
        <w:rFonts w:hint="eastAsia"/>
      </w:rPr>
      <w:t xml:space="preserve">                                                     </w:t>
    </w:r>
    <w:r>
      <w:rPr>
        <w:rFonts w:hint="eastAsia"/>
      </w:rPr>
      <w:t>福建省水投数字科技有限公司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6F9A6" w14:textId="77777777" w:rsidR="00E12D4E" w:rsidRDefault="00656DBF">
    <w:pPr>
      <w:pStyle w:val="a7"/>
      <w:pBdr>
        <w:bottom w:val="single" w:sz="4" w:space="0" w:color="auto"/>
      </w:pBdr>
      <w:jc w:val="distribute"/>
      <w:rPr>
        <w:rFonts w:ascii="宋体" w:hAnsi="宋体" w:cs="宋体" w:hint="eastAsia"/>
      </w:rPr>
    </w:pPr>
    <w:r>
      <w:rPr>
        <w:rFonts w:hint="eastAsia"/>
      </w:rPr>
      <w:t>XXXXXX</w:t>
    </w:r>
    <w:r>
      <w:rPr>
        <w:rFonts w:ascii="宋体" w:hAnsi="宋体" w:cs="宋体" w:hint="eastAsia"/>
      </w:rPr>
      <w:t>软件需求概要设计说明书</w:t>
    </w:r>
    <w:r>
      <w:rPr>
        <w:rFonts w:ascii="宋体" w:hAnsi="宋体" w:cs="宋体" w:hint="eastAsia"/>
      </w:rPr>
      <w:t xml:space="preserve">                                               </w:t>
    </w:r>
    <w:r>
      <w:rPr>
        <w:rFonts w:ascii="宋体" w:hAnsi="宋体" w:cs="宋体" w:hint="eastAsia"/>
      </w:rPr>
      <w:t>福建省水投数字科技有限公司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49A9A" w14:textId="77777777" w:rsidR="00E12D4E" w:rsidRDefault="00E12D4E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4D2A9" w14:textId="77777777" w:rsidR="00E12D4E" w:rsidRDefault="00656DBF">
    <w:pPr>
      <w:pStyle w:val="a7"/>
      <w:pBdr>
        <w:bottom w:val="single" w:sz="6" w:space="0" w:color="000000"/>
      </w:pBdr>
      <w:jc w:val="distribute"/>
    </w:pPr>
    <w:r>
      <w:rPr>
        <w:rFonts w:hint="eastAsia"/>
      </w:rPr>
      <w:t>XXXXXX</w:t>
    </w:r>
    <w:r>
      <w:rPr>
        <w:rFonts w:hint="eastAsia"/>
      </w:rPr>
      <w:t>软件需求概要设计说明书</w:t>
    </w:r>
    <w:r>
      <w:rPr>
        <w:rFonts w:hint="eastAsia"/>
      </w:rPr>
      <w:t xml:space="preserve">                                               </w:t>
    </w:r>
    <w:r>
      <w:rPr>
        <w:rFonts w:hint="eastAsia"/>
      </w:rPr>
      <w:t>福建省水投数字科技有限公司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A3C5D" w14:textId="77777777" w:rsidR="00E12D4E" w:rsidRDefault="00E12D4E"/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00000001"/>
    <w:multiLevelType w:val="multilevel"/>
    <w:tmpl w:val="00000001"/>
    <w:lvl w:ilvl="0">
      <w:start w:val="1"/>
      <w:numFmt w:val="decimal"/>
      <w:pStyle w:val="1"/>
      <w:lvlText w:val="%1"/>
      <w:lvlJc w:val="left"/>
      <w:pPr>
        <w:tabs>
          <w:tab w:pos="0" w:val="left"/>
        </w:tabs>
        <w:ind w:hanging="432" w:left="432"/>
      </w:pPr>
    </w:lvl>
    <w:lvl w:ilvl="1">
      <w:start w:val="1"/>
      <w:numFmt w:val="decimal"/>
      <w:pStyle w:val="2"/>
      <w:lvlText w:val="%1.%2"/>
      <w:lvlJc w:val="left"/>
      <w:pPr>
        <w:tabs>
          <w:tab w:pos="0" w:val="left"/>
        </w:tabs>
        <w:ind w:hanging="576" w:left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pos="0" w:val="left"/>
        </w:tabs>
        <w:ind w:hanging="720" w:left="720"/>
      </w:pPr>
      <w:rPr>
        <w:rFonts w:hint="eastAsia"/>
      </w:rPr>
    </w:lvl>
    <w:lvl w:ilvl="3">
      <w:start w:val="1"/>
      <w:numFmt w:val="decimal"/>
      <w:pStyle w:val="4"/>
      <w:lvlText w:val="%1.%2.%3.%4"/>
      <w:lvlJc w:val="left"/>
      <w:pPr>
        <w:tabs>
          <w:tab w:pos="0" w:val="left"/>
        </w:tabs>
        <w:ind w:hanging="864" w:left="864"/>
      </w:pPr>
      <w:rPr>
        <w:rFonts w:hint="eastAsia"/>
      </w:rPr>
    </w:lvl>
    <w:lvl w:ilvl="4">
      <w:start w:val="1"/>
      <w:numFmt w:val="decimal"/>
      <w:pStyle w:val="5"/>
      <w:lvlText w:val="%1.%2.%3.%4.%5"/>
      <w:lvlJc w:val="left"/>
      <w:pPr>
        <w:tabs>
          <w:tab w:pos="0" w:val="left"/>
        </w:tabs>
        <w:ind w:hanging="1008" w:left="1008"/>
      </w:pPr>
      <w:rPr>
        <w:rFonts w:hint="eastAsia"/>
      </w:rPr>
    </w:lvl>
    <w:lvl w:ilvl="5">
      <w:start w:val="1"/>
      <w:numFmt w:val="decimal"/>
      <w:pStyle w:val="6"/>
      <w:lvlText w:val="%1.%2.%3.%4.%5.%6"/>
      <w:lvlJc w:val="left"/>
      <w:pPr>
        <w:tabs>
          <w:tab w:pos="0" w:val="left"/>
        </w:tabs>
        <w:ind w:hanging="1152" w:left="1152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pos="0" w:val="left"/>
        </w:tabs>
        <w:ind w:hanging="1296" w:left="129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pos="0" w:val="left"/>
        </w:tabs>
        <w:ind w:hanging="1440" w:left="144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pos="0" w:val="left"/>
        </w:tabs>
        <w:ind w:hanging="1584" w:left="1584"/>
      </w:pPr>
      <w:rPr>
        <w:rFonts w:hint="eastAsia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16cid:durableId="603802315" w:numId="1">
    <w:abstractNumId w:val="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0">
    <w:abstractNumId w:val="991"/>
  </w:num>
  <w:num w:numId="1031">
    <w:abstractNumId w:val="991"/>
  </w:num>
  <w:num w:numId="103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0" w:numberingStyles="0" w:stylesInUse="0" w:tableStyles="0" w:top3HeadingStyles="0" w:val="0000" w:visibleStyles="0"/>
  <w:doNotTrackMoves/>
  <w:defaultTabStop w:val="4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compressPunctuation"/>
  <w:savePreviewPicture/>
  <w:doNotValidateAgainstSchema/>
  <w:doNotDemarcateInvalidXml/>
  <w:hdrShapeDefaults>
    <o:shapedefaults spidmax="2050"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2231"/>
    <w:rsid w:val="E3DE555F"/>
    <w:rsid w:val="F5FF0C0A"/>
    <w:rsid w:val="F7DF3B82"/>
    <w:rsid w:val="000057EF"/>
    <w:rsid w:val="0001213C"/>
    <w:rsid w:val="0008481F"/>
    <w:rsid w:val="000A0BD2"/>
    <w:rsid w:val="000A2EB4"/>
    <w:rsid w:val="000C2E44"/>
    <w:rsid w:val="000F2AC4"/>
    <w:rsid w:val="00106925"/>
    <w:rsid w:val="00111131"/>
    <w:rsid w:val="00120631"/>
    <w:rsid w:val="0012337E"/>
    <w:rsid w:val="0012664E"/>
    <w:rsid w:val="00137CAB"/>
    <w:rsid w:val="00196F90"/>
    <w:rsid w:val="001D3F59"/>
    <w:rsid w:val="001F1C92"/>
    <w:rsid w:val="00215B2B"/>
    <w:rsid w:val="00221969"/>
    <w:rsid w:val="00225A1B"/>
    <w:rsid w:val="0025184E"/>
    <w:rsid w:val="00285812"/>
    <w:rsid w:val="00287FE4"/>
    <w:rsid w:val="002B10DC"/>
    <w:rsid w:val="002B214C"/>
    <w:rsid w:val="002B6831"/>
    <w:rsid w:val="00302F25"/>
    <w:rsid w:val="003543EF"/>
    <w:rsid w:val="00363D41"/>
    <w:rsid w:val="00365A09"/>
    <w:rsid w:val="00382655"/>
    <w:rsid w:val="003915BF"/>
    <w:rsid w:val="0039696F"/>
    <w:rsid w:val="003A41FA"/>
    <w:rsid w:val="003B2223"/>
    <w:rsid w:val="003B7635"/>
    <w:rsid w:val="003B78C8"/>
    <w:rsid w:val="003D31BF"/>
    <w:rsid w:val="003E1250"/>
    <w:rsid w:val="003E46CA"/>
    <w:rsid w:val="004035DC"/>
    <w:rsid w:val="00405E75"/>
    <w:rsid w:val="00432810"/>
    <w:rsid w:val="004429DF"/>
    <w:rsid w:val="004460AC"/>
    <w:rsid w:val="00446D71"/>
    <w:rsid w:val="004B6665"/>
    <w:rsid w:val="004B6E6B"/>
    <w:rsid w:val="004C09B8"/>
    <w:rsid w:val="004C3DD5"/>
    <w:rsid w:val="004D1ECF"/>
    <w:rsid w:val="004E1FBE"/>
    <w:rsid w:val="00510EDB"/>
    <w:rsid w:val="00521BE5"/>
    <w:rsid w:val="0053252B"/>
    <w:rsid w:val="00541637"/>
    <w:rsid w:val="00550091"/>
    <w:rsid w:val="00565F38"/>
    <w:rsid w:val="005666B0"/>
    <w:rsid w:val="00584250"/>
    <w:rsid w:val="005E1BA9"/>
    <w:rsid w:val="00614D3C"/>
    <w:rsid w:val="00636929"/>
    <w:rsid w:val="00636BE2"/>
    <w:rsid w:val="006547A5"/>
    <w:rsid w:val="00656DBF"/>
    <w:rsid w:val="00662231"/>
    <w:rsid w:val="00674501"/>
    <w:rsid w:val="00677B0B"/>
    <w:rsid w:val="006904AD"/>
    <w:rsid w:val="006A6CAD"/>
    <w:rsid w:val="006D2C5D"/>
    <w:rsid w:val="006E292E"/>
    <w:rsid w:val="006E3C4A"/>
    <w:rsid w:val="00702A52"/>
    <w:rsid w:val="00704DB0"/>
    <w:rsid w:val="00707D0C"/>
    <w:rsid w:val="00725125"/>
    <w:rsid w:val="0073370D"/>
    <w:rsid w:val="00746452"/>
    <w:rsid w:val="0076786D"/>
    <w:rsid w:val="00771EE6"/>
    <w:rsid w:val="00775B4A"/>
    <w:rsid w:val="007B715E"/>
    <w:rsid w:val="007C15F9"/>
    <w:rsid w:val="007F11EE"/>
    <w:rsid w:val="007F40B9"/>
    <w:rsid w:val="007F4D1C"/>
    <w:rsid w:val="0080761D"/>
    <w:rsid w:val="0081363C"/>
    <w:rsid w:val="00815AC4"/>
    <w:rsid w:val="008242AF"/>
    <w:rsid w:val="0083093E"/>
    <w:rsid w:val="00856D4B"/>
    <w:rsid w:val="00877E71"/>
    <w:rsid w:val="008A188A"/>
    <w:rsid w:val="008B2864"/>
    <w:rsid w:val="008E6202"/>
    <w:rsid w:val="009027A0"/>
    <w:rsid w:val="00903E83"/>
    <w:rsid w:val="009407D4"/>
    <w:rsid w:val="009429A5"/>
    <w:rsid w:val="00943901"/>
    <w:rsid w:val="009609F0"/>
    <w:rsid w:val="00961D2C"/>
    <w:rsid w:val="00966667"/>
    <w:rsid w:val="0097067B"/>
    <w:rsid w:val="0097419E"/>
    <w:rsid w:val="00977753"/>
    <w:rsid w:val="00977A75"/>
    <w:rsid w:val="00993B67"/>
    <w:rsid w:val="009B4DE4"/>
    <w:rsid w:val="009C2B89"/>
    <w:rsid w:val="009D03BC"/>
    <w:rsid w:val="009D34C4"/>
    <w:rsid w:val="009E1172"/>
    <w:rsid w:val="009E3C47"/>
    <w:rsid w:val="00A021C2"/>
    <w:rsid w:val="00A03DE2"/>
    <w:rsid w:val="00A20FC5"/>
    <w:rsid w:val="00A216D1"/>
    <w:rsid w:val="00A34AB9"/>
    <w:rsid w:val="00A902B5"/>
    <w:rsid w:val="00AA5F82"/>
    <w:rsid w:val="00AA7166"/>
    <w:rsid w:val="00AA7914"/>
    <w:rsid w:val="00AB5CA5"/>
    <w:rsid w:val="00AB76B3"/>
    <w:rsid w:val="00AB7DA3"/>
    <w:rsid w:val="00AC790D"/>
    <w:rsid w:val="00AC7DDB"/>
    <w:rsid w:val="00AF6596"/>
    <w:rsid w:val="00B108FD"/>
    <w:rsid w:val="00B23817"/>
    <w:rsid w:val="00B37452"/>
    <w:rsid w:val="00B57CE3"/>
    <w:rsid w:val="00B60583"/>
    <w:rsid w:val="00B6659A"/>
    <w:rsid w:val="00B803B7"/>
    <w:rsid w:val="00BA01E8"/>
    <w:rsid w:val="00BA16E7"/>
    <w:rsid w:val="00BB16C2"/>
    <w:rsid w:val="00BD2A08"/>
    <w:rsid w:val="00BD2E7A"/>
    <w:rsid w:val="00C01183"/>
    <w:rsid w:val="00C273D6"/>
    <w:rsid w:val="00C57503"/>
    <w:rsid w:val="00CA7A12"/>
    <w:rsid w:val="00CB60A9"/>
    <w:rsid w:val="00CD7BDA"/>
    <w:rsid w:val="00D03748"/>
    <w:rsid w:val="00D13C5D"/>
    <w:rsid w:val="00D157E1"/>
    <w:rsid w:val="00D24834"/>
    <w:rsid w:val="00D27E8F"/>
    <w:rsid w:val="00D31252"/>
    <w:rsid w:val="00D3730D"/>
    <w:rsid w:val="00D4091B"/>
    <w:rsid w:val="00D4284B"/>
    <w:rsid w:val="00D42AC0"/>
    <w:rsid w:val="00D53059"/>
    <w:rsid w:val="00D7086E"/>
    <w:rsid w:val="00D76B06"/>
    <w:rsid w:val="00D77662"/>
    <w:rsid w:val="00D92E5A"/>
    <w:rsid w:val="00DA664B"/>
    <w:rsid w:val="00E07512"/>
    <w:rsid w:val="00E12D4E"/>
    <w:rsid w:val="00E26C64"/>
    <w:rsid w:val="00E44746"/>
    <w:rsid w:val="00E678B7"/>
    <w:rsid w:val="00E73928"/>
    <w:rsid w:val="00E77825"/>
    <w:rsid w:val="00E87537"/>
    <w:rsid w:val="00EA7470"/>
    <w:rsid w:val="00EB400B"/>
    <w:rsid w:val="00EC5219"/>
    <w:rsid w:val="00ED435F"/>
    <w:rsid w:val="00EE0A78"/>
    <w:rsid w:val="00F05CB0"/>
    <w:rsid w:val="00F10E42"/>
    <w:rsid w:val="00F149AD"/>
    <w:rsid w:val="00F317C9"/>
    <w:rsid w:val="00F60C7C"/>
    <w:rsid w:val="00F81F2B"/>
    <w:rsid w:val="00F90DDA"/>
    <w:rsid w:val="00F94C76"/>
    <w:rsid w:val="00FA51F2"/>
    <w:rsid w:val="00FB6EFC"/>
    <w:rsid w:val="00FD0ACA"/>
    <w:rsid w:val="00FD42C0"/>
    <w:rsid w:val="00FE2CBB"/>
    <w:rsid w:val="00FE5DA8"/>
    <w:rsid w:val="01811CC6"/>
    <w:rsid w:val="01A17E07"/>
    <w:rsid w:val="098562DB"/>
    <w:rsid w:val="10C63645"/>
    <w:rsid w:val="15226374"/>
    <w:rsid w:val="19BD5342"/>
    <w:rsid w:val="253207DC"/>
    <w:rsid w:val="31607E27"/>
    <w:rsid w:val="319377D8"/>
    <w:rsid w:val="3A2E080A"/>
    <w:rsid w:val="3B9C4649"/>
    <w:rsid w:val="3B9D8CF1"/>
    <w:rsid w:val="3EA958AC"/>
    <w:rsid w:val="4B3923D5"/>
    <w:rsid w:val="4C6F3619"/>
    <w:rsid w:val="4D640980"/>
    <w:rsid w:val="4FE5A802"/>
    <w:rsid w:val="52D5370A"/>
    <w:rsid w:val="5D904C67"/>
    <w:rsid w:val="5D9DA2EB"/>
    <w:rsid w:val="5E651421"/>
    <w:rsid w:val="5E7A598C"/>
    <w:rsid w:val="69277DB4"/>
    <w:rsid w:val="69C63F39"/>
    <w:rsid w:val="6AAA74DF"/>
    <w:rsid w:val="6D584DAE"/>
    <w:rsid w:val="72D629B1"/>
    <w:rsid w:val="7740606A"/>
    <w:rsid w:val="7774B6D0"/>
    <w:rsid w:val="7D977721"/>
  </w:rsids>
  <w:themeFontLang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IncludeSubdocsInStats/>
  <w:shapeDefaults>
    <o:shapedefaults spidmax="2050" v:ext="edit"/>
    <o:shapelayout v:ext="edit">
      <o:idmap data="2" v:ext="edit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cs="Times New Roman" w:eastAsia="等线" w:hAnsi="Times New Roman"/>
        <w:lang w:bidi="ar-SA" w:eastAsia="zh-CN" w:val="en-US"/>
      </w:rPr>
    </w:rPrDefault>
    <w:pPrDefault/>
  </w:docDefaults>
  <w:latentStyles w:count="376" w:defLockedState="0" w:defQFormat="0" w:defSemiHidden="0" w:defUIPriority="0" w:defUnhideWhenUsed="0">
    <w:lsdException w:name="Normal" w:qFormat="1" w:uiPriority="7"/>
    <w:lsdException w:name="heading 1" w:qFormat="1" w:uiPriority="6"/>
    <w:lsdException w:name="heading 2" w:qFormat="1" w:uiPriority="6"/>
    <w:lsdException w:name="heading 3" w:qFormat="1" w:uiPriority="6"/>
    <w:lsdException w:name="heading 4" w:qFormat="1" w:uiPriority="6"/>
    <w:lsdException w:name="heading 5" w:qFormat="1" w:uiPriority="6"/>
    <w:lsdException w:name="heading 6" w:qFormat="1" w:uiPriority="6"/>
    <w:lsdException w:name="heading 7" w:qFormat="1" w:uiPriority="6"/>
    <w:lsdException w:name="heading 8" w:qFormat="1" w:uiPriority="6"/>
    <w:lsdException w:name="heading 9" w:qFormat="1" w:uiPriority="6"/>
    <w:lsdException w:name="toc 1" w:uiPriority="39"/>
    <w:lsdException w:name="toc 2" w:uiPriority="39"/>
    <w:lsdException w:name="toc 3" w:uiPriority="39"/>
    <w:lsdException w:name="header" w:uiPriority="6"/>
    <w:lsdException w:name="footer" w:uiPriority="6"/>
    <w:lsdException w:name="caption" w:qFormat="1" w:uiPriority="7"/>
    <w:lsdException w:name="page number" w:uiPriority="6"/>
    <w:lsdException w:name="List" w:uiPriority="7"/>
    <w:lsdException w:name="Title" w:qFormat="1"/>
    <w:lsdException w:name="Default Paragraph Font" w:semiHidden="1"/>
    <w:lsdException w:name="Body Text" w:uiPriority="7"/>
    <w:lsdException w:name="Subtitle" w:qFormat="1"/>
    <w:lsdException w:name="Hyperlink" w:uiPriority="99"/>
    <w:lsdException w:name="FollowedHyperlink" w:uiPriority="6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a" w:type="paragraph">
    <w:name w:val="Normal"/>
    <w:uiPriority w:val="7"/>
    <w:qFormat/>
    <w:pPr>
      <w:widowControl w:val="0"/>
      <w:suppressAutoHyphens/>
      <w:spacing w:line="360" w:lineRule="auto"/>
    </w:pPr>
    <w:rPr>
      <w:rFonts w:ascii="Arial" w:cs="Arial" w:eastAsia="宋体" w:hAnsi="Arial"/>
      <w:kern w:val="2"/>
      <w:sz w:val="21"/>
    </w:rPr>
  </w:style>
  <w:style w:styleId="1" w:type="paragraph">
    <w:name w:val="heading 1"/>
    <w:basedOn w:val="a"/>
    <w:next w:val="a"/>
    <w:uiPriority w:val="6"/>
    <w:qFormat/>
    <w:pPr>
      <w:keepNext/>
      <w:keepLines/>
      <w:pageBreakBefore/>
      <w:numPr>
        <w:numId w:val="1"/>
      </w:numPr>
      <w:tabs>
        <w:tab w:pos="432" w:val="left"/>
      </w:tabs>
      <w:spacing w:after="330" w:before="340" w:line="240" w:lineRule="auto"/>
      <w:outlineLvl w:val="0"/>
    </w:pPr>
    <w:rPr>
      <w:b/>
      <w:bCs/>
      <w:sz w:val="44"/>
      <w:szCs w:val="44"/>
    </w:rPr>
  </w:style>
  <w:style w:styleId="2" w:type="paragraph">
    <w:name w:val="heading 2"/>
    <w:basedOn w:val="a"/>
    <w:next w:val="a"/>
    <w:uiPriority w:val="6"/>
    <w:qFormat/>
    <w:pPr>
      <w:keepNext/>
      <w:keepLines/>
      <w:numPr>
        <w:ilvl w:val="1"/>
        <w:numId w:val="1"/>
      </w:numPr>
      <w:tabs>
        <w:tab w:pos="576" w:val="left"/>
      </w:tabs>
      <w:spacing w:after="260" w:before="260" w:line="240" w:lineRule="auto"/>
      <w:outlineLvl w:val="1"/>
    </w:pPr>
    <w:rPr>
      <w:b/>
      <w:bCs/>
      <w:sz w:val="32"/>
      <w:szCs w:val="32"/>
    </w:rPr>
  </w:style>
  <w:style w:styleId="3" w:type="paragraph">
    <w:name w:val="heading 3"/>
    <w:basedOn w:val="a"/>
    <w:next w:val="a"/>
    <w:uiPriority w:val="6"/>
    <w:qFormat/>
    <w:pPr>
      <w:keepNext/>
      <w:keepLines/>
      <w:numPr>
        <w:ilvl w:val="2"/>
        <w:numId w:val="1"/>
      </w:numPr>
      <w:tabs>
        <w:tab w:pos="720" w:val="left"/>
        <w:tab w:pos="872" w:val="left"/>
      </w:tabs>
      <w:spacing w:after="260" w:before="260" w:line="240" w:lineRule="auto"/>
      <w:outlineLvl w:val="2"/>
    </w:pPr>
    <w:rPr>
      <w:b/>
      <w:bCs/>
      <w:sz w:val="30"/>
      <w:szCs w:val="32"/>
    </w:rPr>
  </w:style>
  <w:style w:styleId="4" w:type="paragraph">
    <w:name w:val="heading 4"/>
    <w:basedOn w:val="a"/>
    <w:next w:val="a"/>
    <w:uiPriority w:val="6"/>
    <w:qFormat/>
    <w:pPr>
      <w:keepNext/>
      <w:keepLines/>
      <w:numPr>
        <w:ilvl w:val="3"/>
        <w:numId w:val="1"/>
      </w:numPr>
      <w:tabs>
        <w:tab w:pos="864" w:val="left"/>
      </w:tabs>
      <w:spacing w:after="290" w:before="280" w:line="240" w:lineRule="auto"/>
      <w:outlineLvl w:val="3"/>
    </w:pPr>
    <w:rPr>
      <w:b/>
      <w:bCs/>
      <w:sz w:val="28"/>
      <w:szCs w:val="28"/>
    </w:rPr>
  </w:style>
  <w:style w:styleId="5" w:type="paragraph">
    <w:name w:val="heading 5"/>
    <w:basedOn w:val="a"/>
    <w:next w:val="a"/>
    <w:uiPriority w:val="6"/>
    <w:qFormat/>
    <w:pPr>
      <w:keepNext/>
      <w:keepLines/>
      <w:numPr>
        <w:ilvl w:val="4"/>
        <w:numId w:val="1"/>
      </w:numPr>
      <w:tabs>
        <w:tab w:pos="1008" w:val="left"/>
      </w:tabs>
      <w:spacing w:after="290" w:before="280" w:line="240" w:lineRule="auto"/>
      <w:outlineLvl w:val="4"/>
    </w:pPr>
    <w:rPr>
      <w:b/>
      <w:bCs/>
      <w:szCs w:val="28"/>
    </w:rPr>
  </w:style>
  <w:style w:styleId="6" w:type="paragraph">
    <w:name w:val="heading 6"/>
    <w:basedOn w:val="a"/>
    <w:next w:val="a"/>
    <w:uiPriority w:val="6"/>
    <w:qFormat/>
    <w:pPr>
      <w:keepNext/>
      <w:keepLines/>
      <w:numPr>
        <w:ilvl w:val="5"/>
        <w:numId w:val="1"/>
      </w:numPr>
      <w:tabs>
        <w:tab w:pos="1152" w:val="left"/>
      </w:tabs>
      <w:spacing w:after="64" w:before="240" w:line="319" w:lineRule="auto"/>
      <w:outlineLvl w:val="5"/>
    </w:pPr>
    <w:rPr>
      <w:b/>
      <w:bCs/>
      <w:szCs w:val="24"/>
    </w:rPr>
  </w:style>
  <w:style w:styleId="7" w:type="paragraph">
    <w:name w:val="heading 7"/>
    <w:basedOn w:val="a"/>
    <w:next w:val="a"/>
    <w:uiPriority w:val="6"/>
    <w:qFormat/>
    <w:pPr>
      <w:keepNext/>
      <w:keepLines/>
      <w:numPr>
        <w:ilvl w:val="6"/>
        <w:numId w:val="1"/>
      </w:numPr>
      <w:tabs>
        <w:tab w:pos="1296" w:val="left"/>
      </w:tabs>
      <w:spacing w:after="64" w:before="240" w:line="319" w:lineRule="auto"/>
      <w:outlineLvl w:val="6"/>
    </w:pPr>
    <w:rPr>
      <w:b/>
      <w:bCs/>
      <w:sz w:val="18"/>
      <w:szCs w:val="24"/>
    </w:rPr>
  </w:style>
  <w:style w:styleId="8" w:type="paragraph">
    <w:name w:val="heading 8"/>
    <w:basedOn w:val="a"/>
    <w:next w:val="a"/>
    <w:uiPriority w:val="6"/>
    <w:qFormat/>
    <w:pPr>
      <w:keepNext/>
      <w:keepLines/>
      <w:numPr>
        <w:ilvl w:val="7"/>
        <w:numId w:val="1"/>
      </w:numPr>
      <w:tabs>
        <w:tab w:pos="1440" w:val="left"/>
      </w:tabs>
      <w:spacing w:after="64" w:before="240" w:line="319" w:lineRule="auto"/>
      <w:outlineLvl w:val="7"/>
    </w:pPr>
    <w:rPr>
      <w:b/>
      <w:sz w:val="18"/>
      <w:szCs w:val="24"/>
    </w:rPr>
  </w:style>
  <w:style w:styleId="9" w:type="paragraph">
    <w:name w:val="heading 9"/>
    <w:basedOn w:val="a"/>
    <w:next w:val="a"/>
    <w:uiPriority w:val="6"/>
    <w:qFormat/>
    <w:pPr>
      <w:keepNext/>
      <w:keepLines/>
      <w:numPr>
        <w:ilvl w:val="8"/>
        <w:numId w:val="1"/>
      </w:numPr>
      <w:tabs>
        <w:tab w:pos="1344" w:val="left"/>
        <w:tab w:pos="1584" w:val="left"/>
      </w:tabs>
      <w:spacing w:after="64" w:before="240" w:line="319" w:lineRule="auto"/>
      <w:outlineLvl w:val="8"/>
    </w:pPr>
    <w:rPr>
      <w:b/>
      <w:sz w:val="18"/>
      <w:szCs w:val="21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caption"/>
    <w:basedOn w:val="a"/>
    <w:uiPriority w:val="7"/>
    <w:qFormat/>
    <w:pPr>
      <w:suppressLineNumbers/>
      <w:spacing w:after="120" w:before="120"/>
    </w:pPr>
    <w:rPr>
      <w:rFonts w:cs="Lohit Devanagari"/>
      <w:i/>
      <w:iCs/>
      <w:sz w:val="24"/>
      <w:szCs w:val="24"/>
    </w:rPr>
  </w:style>
  <w:style w:styleId="a4" w:type="paragraph">
    <w:name w:val="annotation text"/>
    <w:basedOn w:val="a"/>
  </w:style>
  <w:style w:styleId="a5" w:type="paragraph">
    <w:name w:val="Body Text"/>
    <w:basedOn w:val="a"/>
    <w:uiPriority w:val="7"/>
    <w:pPr>
      <w:spacing w:after="120"/>
    </w:pPr>
  </w:style>
  <w:style w:styleId="TOC3" w:type="paragraph">
    <w:name w:val="toc 3"/>
    <w:basedOn w:val="a"/>
    <w:next w:val="a"/>
    <w:uiPriority w:val="39"/>
    <w:pPr>
      <w:spacing w:line="240" w:lineRule="auto"/>
      <w:ind w:left="482"/>
    </w:pPr>
    <w:rPr>
      <w:i/>
      <w:sz w:val="18"/>
    </w:rPr>
  </w:style>
  <w:style w:styleId="a6" w:type="paragraph">
    <w:name w:val="footer"/>
    <w:basedOn w:val="a"/>
    <w:uiPriority w:val="6"/>
    <w:pPr>
      <w:tabs>
        <w:tab w:pos="4153" w:val="center"/>
        <w:tab w:pos="8306" w:val="right"/>
      </w:tabs>
      <w:snapToGrid w:val="0"/>
      <w:spacing w:line="240" w:lineRule="auto"/>
    </w:pPr>
    <w:rPr>
      <w:sz w:val="18"/>
      <w:szCs w:val="18"/>
    </w:rPr>
  </w:style>
  <w:style w:styleId="a7" w:type="paragraph">
    <w:name w:val="header"/>
    <w:basedOn w:val="a"/>
    <w:uiPriority w:val="6"/>
    <w:pPr>
      <w:pBdr>
        <w:top w:color="000000" w:space="0" w:sz="0" w:val="none"/>
        <w:left w:color="000000" w:space="0" w:sz="0" w:val="none"/>
        <w:bottom w:color="000000" w:space="1" w:sz="6" w:val="single"/>
        <w:right w:color="000000" w:space="0" w:sz="0" w:val="none"/>
      </w:pBdr>
      <w:tabs>
        <w:tab w:pos="4153" w:val="center"/>
        <w:tab w:pos="8306" w:val="right"/>
      </w:tabs>
      <w:snapToGrid w:val="0"/>
      <w:spacing w:line="240" w:lineRule="auto"/>
      <w:jc w:val="center"/>
    </w:pPr>
    <w:rPr>
      <w:sz w:val="18"/>
      <w:szCs w:val="18"/>
    </w:rPr>
  </w:style>
  <w:style w:styleId="TOC1" w:type="paragraph">
    <w:name w:val="toc 1"/>
    <w:basedOn w:val="a"/>
    <w:next w:val="a"/>
    <w:uiPriority w:val="39"/>
    <w:pPr>
      <w:spacing w:after="120" w:before="120" w:line="240" w:lineRule="auto"/>
    </w:pPr>
    <w:rPr>
      <w:b/>
      <w:caps/>
    </w:rPr>
  </w:style>
  <w:style w:styleId="a8" w:type="paragraph">
    <w:name w:val="List"/>
    <w:basedOn w:val="a5"/>
    <w:uiPriority w:val="7"/>
    <w:rPr>
      <w:rFonts w:cs="Lohit Devanagari"/>
    </w:rPr>
  </w:style>
  <w:style w:styleId="TOC2" w:type="paragraph">
    <w:name w:val="toc 2"/>
    <w:basedOn w:val="a"/>
    <w:next w:val="a"/>
    <w:uiPriority w:val="39"/>
    <w:pPr>
      <w:spacing w:line="240" w:lineRule="auto"/>
      <w:ind w:left="238"/>
    </w:pPr>
    <w:rPr>
      <w:smallCaps/>
      <w:sz w:val="18"/>
    </w:rPr>
  </w:style>
  <w:style w:styleId="a9" w:type="table">
    <w:name w:val="Table Grid"/>
    <w:basedOn w:val="a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a" w:type="character">
    <w:name w:val="page number"/>
    <w:uiPriority w:val="6"/>
  </w:style>
  <w:style w:styleId="ab" w:type="character">
    <w:name w:val="FollowedHyperlink"/>
    <w:uiPriority w:val="6"/>
    <w:rPr>
      <w:color w:val="800080"/>
      <w:u w:val="single"/>
    </w:rPr>
  </w:style>
  <w:style w:styleId="ac" w:type="character">
    <w:name w:val="Hyperlink"/>
    <w:uiPriority w:val="99"/>
    <w:rPr>
      <w:color w:val="0000FF"/>
      <w:u w:val="single"/>
    </w:rPr>
  </w:style>
  <w:style w:customStyle="1" w:styleId="10" w:type="character">
    <w:name w:val="默认段落字体1"/>
  </w:style>
  <w:style w:customStyle="1" w:styleId="WW8Num1z0" w:type="character">
    <w:name w:val="WW8Num1z0"/>
    <w:uiPriority w:val="3"/>
    <w:rPr>
      <w:rFonts w:hint="default"/>
    </w:rPr>
  </w:style>
  <w:style w:customStyle="1" w:styleId="WW8Num2z0" w:type="character">
    <w:name w:val="WW8Num2z0"/>
    <w:uiPriority w:val="3"/>
    <w:rPr>
      <w:rFonts w:hint="default"/>
    </w:rPr>
  </w:style>
  <w:style w:customStyle="1" w:styleId="WW8Num3z0" w:type="character">
    <w:name w:val="WW8Num3z0"/>
    <w:uiPriority w:val="3"/>
    <w:rPr>
      <w:rFonts w:hint="default"/>
    </w:rPr>
  </w:style>
  <w:style w:customStyle="1" w:styleId="WW8Num4z0" w:type="character">
    <w:name w:val="WW8Num4z0"/>
    <w:uiPriority w:val="3"/>
    <w:rPr>
      <w:rFonts w:hint="default"/>
    </w:rPr>
  </w:style>
  <w:style w:customStyle="1" w:styleId="WW8Num4z1" w:type="character">
    <w:name w:val="WW8Num4z1"/>
    <w:uiPriority w:val="3"/>
  </w:style>
  <w:style w:customStyle="1" w:styleId="WW8Num4z2" w:type="character">
    <w:name w:val="WW8Num4z2"/>
    <w:uiPriority w:val="3"/>
  </w:style>
  <w:style w:customStyle="1" w:styleId="WW8Num4z3" w:type="character">
    <w:name w:val="WW8Num4z3"/>
    <w:uiPriority w:val="3"/>
  </w:style>
  <w:style w:customStyle="1" w:styleId="WW8Num4z4" w:type="character">
    <w:name w:val="WW8Num4z4"/>
    <w:uiPriority w:val="3"/>
  </w:style>
  <w:style w:customStyle="1" w:styleId="WW8Num4z5" w:type="character">
    <w:name w:val="WW8Num4z5"/>
    <w:uiPriority w:val="3"/>
  </w:style>
  <w:style w:customStyle="1" w:styleId="WW8Num4z6" w:type="character">
    <w:name w:val="WW8Num4z6"/>
    <w:uiPriority w:val="3"/>
  </w:style>
  <w:style w:customStyle="1" w:styleId="WW8Num4z7" w:type="character">
    <w:name w:val="WW8Num4z7"/>
    <w:uiPriority w:val="3"/>
  </w:style>
  <w:style w:customStyle="1" w:styleId="WW8Num4z8" w:type="character">
    <w:name w:val="WW8Num4z8"/>
    <w:uiPriority w:val="3"/>
  </w:style>
  <w:style w:customStyle="1" w:styleId="WW8Num5z0" w:type="character">
    <w:name w:val="WW8Num5z0"/>
    <w:uiPriority w:val="3"/>
    <w:rPr>
      <w:rFonts w:cs="Arial" w:hint="default"/>
      <w:lang w:val="en-US"/>
    </w:rPr>
  </w:style>
  <w:style w:customStyle="1" w:styleId="WW8Num6z0" w:type="character">
    <w:name w:val="WW8Num6z0"/>
    <w:uiPriority w:val="3"/>
  </w:style>
  <w:style w:customStyle="1" w:styleId="WW8Num6z1" w:type="character">
    <w:name w:val="WW8Num6z1"/>
    <w:uiPriority w:val="3"/>
  </w:style>
  <w:style w:customStyle="1" w:styleId="WW8Num6z2" w:type="character">
    <w:name w:val="WW8Num6z2"/>
    <w:uiPriority w:val="3"/>
  </w:style>
  <w:style w:customStyle="1" w:styleId="WW8Num6z3" w:type="character">
    <w:name w:val="WW8Num6z3"/>
    <w:uiPriority w:val="3"/>
  </w:style>
  <w:style w:customStyle="1" w:styleId="WW8Num6z4" w:type="character">
    <w:name w:val="WW8Num6z4"/>
    <w:uiPriority w:val="3"/>
  </w:style>
  <w:style w:customStyle="1" w:styleId="WW8Num6z5" w:type="character">
    <w:name w:val="WW8Num6z5"/>
    <w:uiPriority w:val="3"/>
  </w:style>
  <w:style w:customStyle="1" w:styleId="WW8Num6z6" w:type="character">
    <w:name w:val="WW8Num6z6"/>
    <w:uiPriority w:val="3"/>
  </w:style>
  <w:style w:customStyle="1" w:styleId="WW8Num6z7" w:type="character">
    <w:name w:val="WW8Num6z7"/>
    <w:uiPriority w:val="3"/>
  </w:style>
  <w:style w:customStyle="1" w:styleId="WW8Num6z8" w:type="character">
    <w:name w:val="WW8Num6z8"/>
    <w:uiPriority w:val="3"/>
  </w:style>
  <w:style w:customStyle="1" w:styleId="WW8Num7z0" w:type="character">
    <w:name w:val="WW8Num7z0"/>
    <w:uiPriority w:val="3"/>
    <w:rPr>
      <w:rFonts w:hint="default"/>
    </w:rPr>
  </w:style>
  <w:style w:customStyle="1" w:styleId="WW8Num8z0" w:type="character">
    <w:name w:val="WW8Num8z0"/>
    <w:uiPriority w:val="3"/>
    <w:rPr>
      <w:rFonts w:hint="default"/>
    </w:rPr>
  </w:style>
  <w:style w:customStyle="1" w:styleId="WW8Num9z0" w:type="character">
    <w:name w:val="WW8Num9z0"/>
    <w:uiPriority w:val="3"/>
  </w:style>
  <w:style w:customStyle="1" w:styleId="WW8Num9z1" w:type="character">
    <w:name w:val="WW8Num9z1"/>
    <w:uiPriority w:val="3"/>
    <w:rPr>
      <w:rFonts w:hint="eastAsia"/>
    </w:rPr>
  </w:style>
  <w:style w:customStyle="1" w:styleId="WW8Num10z0" w:type="character">
    <w:name w:val="WW8Num10z0"/>
    <w:uiPriority w:val="3"/>
    <w:rPr>
      <w:rFonts w:hint="default"/>
    </w:rPr>
  </w:style>
  <w:style w:customStyle="1" w:styleId="WW8Num11z0" w:type="character">
    <w:name w:val="WW8Num11z0"/>
    <w:uiPriority w:val="3"/>
    <w:rPr>
      <w:rFonts w:hint="default"/>
    </w:rPr>
  </w:style>
  <w:style w:customStyle="1" w:styleId="Char" w:type="character">
    <w:name w:val="批注文字 Char"/>
    <w:rPr>
      <w:rFonts w:ascii="Arial" w:cs="Arial" w:eastAsia="宋体" w:hAnsi="Arial"/>
      <w:color w:val="0000FF"/>
      <w:kern w:val="2"/>
      <w:sz w:val="18"/>
      <w:lang w:bidi="ar-SA" w:eastAsia="zh-CN" w:val="en-US"/>
    </w:rPr>
  </w:style>
  <w:style w:customStyle="1" w:styleId="IndexLink" w:type="character">
    <w:name w:val="Index Link"/>
    <w:uiPriority w:val="6"/>
  </w:style>
  <w:style w:customStyle="1" w:styleId="Heading" w:type="paragraph">
    <w:name w:val="Heading"/>
    <w:basedOn w:val="a"/>
    <w:next w:val="a5"/>
    <w:uiPriority w:val="6"/>
    <w:pPr>
      <w:keepNext/>
      <w:spacing w:after="120" w:before="240"/>
    </w:pPr>
    <w:rPr>
      <w:rFonts w:ascii="Liberation Sans" w:cs="Lohit Devanagari" w:eastAsia="Noto Sans CJK SC" w:hAnsi="Liberation Sans"/>
      <w:sz w:val="28"/>
      <w:szCs w:val="28"/>
    </w:rPr>
  </w:style>
  <w:style w:customStyle="1" w:styleId="Index" w:type="paragraph">
    <w:name w:val="Index"/>
    <w:basedOn w:val="a"/>
    <w:uiPriority w:val="6"/>
    <w:pPr>
      <w:suppressLineNumbers/>
    </w:pPr>
    <w:rPr>
      <w:rFonts w:cs="Lohit Devanagari"/>
    </w:rPr>
  </w:style>
  <w:style w:customStyle="1" w:styleId="11" w:type="paragraph">
    <w:name w:val="正文缩进1"/>
    <w:basedOn w:val="a"/>
    <w:pPr>
      <w:ind w:firstLine="420"/>
    </w:pPr>
    <w:rPr>
      <w:rFonts w:ascii="Times New Roman" w:cs="Times New Roman" w:hAnsi="Times New Roman"/>
      <w:sz w:val="24"/>
    </w:rPr>
  </w:style>
  <w:style w:customStyle="1" w:styleId="12" w:type="paragraph">
    <w:name w:val="题注1"/>
    <w:basedOn w:val="a"/>
    <w:next w:val="a"/>
    <w:pPr>
      <w:spacing w:after="160" w:before="152"/>
    </w:pPr>
  </w:style>
  <w:style w:customStyle="1" w:styleId="13" w:type="paragraph">
    <w:name w:val="文档结构图1"/>
    <w:basedOn w:val="a"/>
    <w:pPr>
      <w:shd w:color="auto" w:fill="000080" w:val="clear"/>
    </w:pPr>
  </w:style>
  <w:style w:customStyle="1" w:styleId="14" w:type="paragraph">
    <w:name w:val="批注文字1"/>
    <w:basedOn w:val="a"/>
    <w:pPr>
      <w:spacing w:line="240" w:lineRule="auto"/>
    </w:pPr>
    <w:rPr>
      <w:color w:val="0000FF"/>
      <w:sz w:val="18"/>
    </w:rPr>
  </w:style>
  <w:style w:customStyle="1" w:styleId="15" w:type="paragraph">
    <w:name w:val="批注框文本1"/>
    <w:basedOn w:val="a"/>
    <w:rPr>
      <w:sz w:val="18"/>
      <w:szCs w:val="18"/>
    </w:rPr>
  </w:style>
  <w:style w:customStyle="1" w:styleId="HeaderandFooter" w:type="paragraph">
    <w:name w:val="Header and Footer"/>
    <w:basedOn w:val="a"/>
    <w:uiPriority w:val="6"/>
    <w:pPr>
      <w:suppressLineNumbers/>
      <w:tabs>
        <w:tab w:pos="4819" w:val="center"/>
        <w:tab w:pos="9638" w:val="right"/>
      </w:tabs>
    </w:pPr>
  </w:style>
  <w:style w:customStyle="1" w:styleId="16" w:type="paragraph">
    <w:name w:val="图表目录1"/>
    <w:basedOn w:val="a"/>
    <w:next w:val="a"/>
    <w:pPr>
      <w:ind w:hanging="480" w:left="480"/>
    </w:pPr>
    <w:rPr>
      <w:smallCaps/>
      <w:szCs w:val="24"/>
    </w:rPr>
  </w:style>
  <w:style w:customStyle="1" w:styleId="17" w:type="paragraph">
    <w:name w:val="信息标题1"/>
    <w:basedOn w:val="a5"/>
    <w:pPr>
      <w:keepLines/>
      <w:widowControl/>
      <w:tabs>
        <w:tab w:pos="1080" w:val="left"/>
      </w:tabs>
      <w:spacing w:line="240" w:lineRule="atLeast"/>
      <w:ind w:hanging="1080" w:left="1080"/>
    </w:pPr>
    <w:rPr>
      <w:rFonts w:ascii="Garamond" w:cs="Garamond" w:hAnsi="Garamond"/>
      <w:caps/>
      <w:kern w:val="0"/>
      <w:sz w:val="18"/>
    </w:rPr>
  </w:style>
  <w:style w:customStyle="1" w:styleId="18" w:type="paragraph">
    <w:name w:val="普通(网站)1"/>
    <w:basedOn w:val="a"/>
    <w:uiPriority w:val="2"/>
    <w:pPr>
      <w:spacing w:after="100" w:before="100"/>
    </w:pPr>
    <w:rPr>
      <w:rFonts w:cs="Times New Roman"/>
      <w:kern w:val="0"/>
      <w:sz w:val="24"/>
    </w:rPr>
  </w:style>
  <w:style w:customStyle="1" w:styleId="Normal-Table" w:type="paragraph">
    <w:name w:val="Normal-Table"/>
    <w:basedOn w:val="a"/>
    <w:uiPriority w:val="7"/>
    <w:pPr>
      <w:widowControl/>
      <w:spacing w:after="60" w:line="240" w:lineRule="auto"/>
    </w:pPr>
    <w:rPr>
      <w:rFonts w:ascii="宋体" w:hAnsi="宋体"/>
      <w:kern w:val="0"/>
      <w:lang w:eastAsia="en-US" w:val="en-GB"/>
    </w:rPr>
  </w:style>
  <w:style w:customStyle="1" w:styleId="TableContents" w:type="paragraph">
    <w:name w:val="Table Contents"/>
    <w:basedOn w:val="a"/>
    <w:uiPriority w:val="6"/>
    <w:pPr>
      <w:suppressLineNumbers/>
    </w:pPr>
  </w:style>
  <w:style w:customStyle="1" w:styleId="TableHeading" w:type="paragraph">
    <w:name w:val="Table Heading"/>
    <w:basedOn w:val="TableContents"/>
    <w:uiPriority w:val="6"/>
    <w:rPr>
      <w:b/>
      <w:bCs/>
    </w:rPr>
  </w:style>
  <w:style w:customStyle="1" w:styleId="FrameContents" w:type="paragraph">
    <w:name w:val="Frame Contents"/>
    <w:basedOn w:val="a"/>
    <w:uiPriority w:val="6"/>
  </w:style>
  <w:style w:customStyle="1" w:styleId="ad" w:type="table">
    <w:name w:val="表格"/>
    <w:basedOn w:val="a1"/>
    <w:uiPriority w:val="99"/>
    <w:rsid w:val="006547A5"/>
    <w:rPr>
      <w:rFonts w:eastAsiaTheme="minorEastAsia"/>
      <w:sz w:val="24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Table" w:type="table">
    <w:name w:val="Table"/>
    <w:basedOn w:val="ae"/>
    <w:uiPriority w:val="99"/>
    <w:rsid w:val="006547A5"/>
    <w:rPr>
      <w:rFonts w:eastAsia="宋体"/>
      <w:sz w:val="21"/>
    </w:rPr>
    <w:tblPr/>
  </w:style>
  <w:style w:styleId="ae" w:type="table">
    <w:name w:val="Table Theme"/>
    <w:basedOn w:val="a1"/>
    <w:semiHidden/>
    <w:unhideWhenUsed/>
    <w:rsid w:val="004460AC"/>
    <w:pPr>
      <w:widowControl w:val="0"/>
      <w:suppressAutoHyphens/>
      <w:spacing w:line="36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customStyle="1" w:styleId="SourceCode">
    <w:name w:val="Source Code"/>
    <w:basedOn w:val="Normal"/>
    <w:link w:val="VerbatimChar"/>
    <w:pPr>
      <w:wordWrap w:val="off"/>
      <w:shd w:val="clear" w:fill="f8f8f8"/>
    </w:pPr>
  </w:style>
  <w:style w:type="character" w:customStyle="1" w:styleId="KeywordTok">
    <w:name w:val="KeywordTok"/>
    <w:basedOn w:val="VerbatimChar"/>
    <w:rPr>
      <w:b/>
      <w:color w:val="204a87"/>
      <w:shd w:val="clear" w:fill="f8f8f8"/>
    </w:rPr>
  </w:style>
  <w:style w:type="character" w:customStyle="1" w:styleId="DataTypeTok">
    <w:name w:val="DataTypeTok"/>
    <w:basedOn w:val="VerbatimChar"/>
    <w:rPr>
      <w:color w:val="204a87"/>
      <w:shd w:val="clear" w:fill="f8f8f8"/>
    </w:rPr>
  </w:style>
  <w:style w:type="character" w:customStyle="1" w:styleId="DecValTok">
    <w:name w:val="DecValTok"/>
    <w:basedOn w:val="VerbatimChar"/>
    <w:rPr>
      <w:color w:val="0000cf"/>
      <w:shd w:val="clear" w:fill="f8f8f8"/>
    </w:rPr>
  </w:style>
  <w:style w:type="character" w:customStyle="1" w:styleId="BaseNTok">
    <w:name w:val="BaseNTok"/>
    <w:basedOn w:val="VerbatimChar"/>
    <w:rPr>
      <w:color w:val="0000cf"/>
      <w:shd w:val="clear" w:fill="f8f8f8"/>
    </w:rPr>
  </w:style>
  <w:style w:type="character" w:customStyle="1" w:styleId="FloatTok">
    <w:name w:val="FloatTok"/>
    <w:basedOn w:val="VerbatimChar"/>
    <w:rPr>
      <w:color w:val="0000cf"/>
      <w:shd w:val="clear" w:fill="f8f8f8"/>
    </w:rPr>
  </w:style>
  <w:style w:type="character" w:customStyle="1" w:styleId="ConstantTok">
    <w:name w:val="ConstantTok"/>
    <w:basedOn w:val="VerbatimChar"/>
    <w:rPr>
      <w:color w:val="8f5902"/>
      <w:shd w:val="clear" w:fill="f8f8f8"/>
    </w:rPr>
  </w:style>
  <w:style w:type="character" w:customStyle="1" w:styleId="CharTok">
    <w:name w:val="CharTok"/>
    <w:basedOn w:val="VerbatimChar"/>
    <w:rPr>
      <w:color w:val="4e9a06"/>
      <w:shd w:val="clear" w:fill="f8f8f8"/>
    </w:rPr>
  </w:style>
  <w:style w:type="character" w:customStyle="1" w:styleId="SpecialCharTok">
    <w:name w:val="SpecialCharTok"/>
    <w:basedOn w:val="VerbatimChar"/>
    <w:rPr>
      <w:b/>
      <w:color w:val="ce5c00"/>
      <w:shd w:val="clear" w:fill="f8f8f8"/>
    </w:rPr>
  </w:style>
  <w:style w:type="character" w:customStyle="1" w:styleId="StringTok">
    <w:name w:val="StringTok"/>
    <w:basedOn w:val="VerbatimChar"/>
    <w:rPr>
      <w:color w:val="4e9a06"/>
      <w:shd w:val="clear" w:fill="f8f8f8"/>
    </w:rPr>
  </w:style>
  <w:style w:type="character" w:customStyle="1" w:styleId="VerbatimStringTok">
    <w:name w:val="VerbatimStringTok"/>
    <w:basedOn w:val="VerbatimChar"/>
    <w:rPr>
      <w:color w:val="4e9a06"/>
      <w:shd w:val="clear" w:fill="f8f8f8"/>
    </w:rPr>
  </w:style>
  <w:style w:type="character" w:customStyle="1" w:styleId="SpecialStringTok">
    <w:name w:val="SpecialStringTok"/>
    <w:basedOn w:val="VerbatimChar"/>
    <w:rPr>
      <w:color w:val="4e9a06"/>
      <w:shd w:val="clear" w:fill="f8f8f8"/>
    </w:rPr>
  </w:style>
  <w:style w:type="character" w:customStyle="1" w:styleId="ImportTok">
    <w:name w:val="ImportTok"/>
    <w:basedOn w:val="VerbatimChar"/>
    <w:rPr>
      <w:shd w:val="clear" w:fill="f8f8f8"/>
    </w:rPr>
  </w:style>
  <w:style w:type="character" w:customStyle="1" w:styleId="CommentTok">
    <w:name w:val="CommentTok"/>
    <w:basedOn w:val="VerbatimChar"/>
    <w:rPr>
      <w:i/>
      <w:color w:val="8f5902"/>
      <w:shd w:val="clear" w:fill="f8f8f8"/>
    </w:rPr>
  </w:style>
  <w:style w:type="character" w:customStyle="1" w:styleId="DocumentationTok">
    <w:name w:val="DocumentationTok"/>
    <w:basedOn w:val="VerbatimChar"/>
    <w:rPr>
      <w:b/>
      <w:i/>
      <w:color w:val="8f5902"/>
      <w:shd w:val="clear" w:fill="f8f8f8"/>
    </w:rPr>
  </w:style>
  <w:style w:type="character" w:customStyle="1" w:styleId="AnnotationTok">
    <w:name w:val="AnnotationTok"/>
    <w:basedOn w:val="VerbatimChar"/>
    <w:rPr>
      <w:b/>
      <w:i/>
      <w:color w:val="8f5902"/>
      <w:shd w:val="clear" w:fill="f8f8f8"/>
    </w:rPr>
  </w:style>
  <w:style w:type="character" w:customStyle="1" w:styleId="CommentVarTok">
    <w:name w:val="CommentVarTok"/>
    <w:basedOn w:val="VerbatimChar"/>
    <w:rPr>
      <w:b/>
      <w:i/>
      <w:color w:val="8f5902"/>
      <w:shd w:val="clear" w:fill="f8f8f8"/>
    </w:rPr>
  </w:style>
  <w:style w:type="character" w:customStyle="1" w:styleId="OtherTok">
    <w:name w:val="OtherTok"/>
    <w:basedOn w:val="VerbatimChar"/>
    <w:rPr>
      <w:color w:val="8f5902"/>
      <w:shd w:val="clear" w:fill="f8f8f8"/>
    </w:rPr>
  </w:style>
  <w:style w:type="character" w:customStyle="1" w:styleId="FunctionTok">
    <w:name w:val="FunctionTok"/>
    <w:basedOn w:val="VerbatimChar"/>
    <w:rPr>
      <w:b/>
      <w:color w:val="204a87"/>
      <w:shd w:val="clear" w:fill="f8f8f8"/>
    </w:rPr>
  </w:style>
  <w:style w:type="character" w:customStyle="1" w:styleId="VariableTok">
    <w:name w:val="VariableTok"/>
    <w:basedOn w:val="VerbatimChar"/>
    <w:rPr>
      <w:color w:val="000000"/>
      <w:shd w:val="clear" w:fill="f8f8f8"/>
    </w:rPr>
  </w:style>
  <w:style w:type="character" w:customStyle="1" w:styleId="ControlFlowTok">
    <w:name w:val="ControlFlowTok"/>
    <w:basedOn w:val="VerbatimChar"/>
    <w:rPr>
      <w:b/>
      <w:color w:val="204a87"/>
      <w:shd w:val="clear" w:fill="f8f8f8"/>
    </w:rPr>
  </w:style>
  <w:style w:type="character" w:customStyle="1" w:styleId="OperatorTok">
    <w:name w:val="OperatorTok"/>
    <w:basedOn w:val="VerbatimChar"/>
    <w:rPr>
      <w:b/>
      <w:color w:val="ce5c00"/>
      <w:shd w:val="clear" w:fill="f8f8f8"/>
    </w:rPr>
  </w:style>
  <w:style w:type="character" w:customStyle="1" w:styleId="BuiltInTok">
    <w:name w:val="BuiltInTok"/>
    <w:basedOn w:val="VerbatimChar"/>
    <w:rPr>
      <w:shd w:val="clear" w:fill="f8f8f8"/>
    </w:rPr>
  </w:style>
  <w:style w:type="character" w:customStyle="1" w:styleId="ExtensionTok">
    <w:name w:val="ExtensionTok"/>
    <w:basedOn w:val="VerbatimChar"/>
    <w:rPr>
      <w:shd w:val="clear" w:fill="f8f8f8"/>
    </w:rPr>
  </w:style>
  <w:style w:type="character" w:customStyle="1" w:styleId="PreprocessorTok">
    <w:name w:val="PreprocessorTok"/>
    <w:basedOn w:val="VerbatimChar"/>
    <w:rPr>
      <w:i/>
      <w:color w:val="8f5902"/>
      <w:shd w:val="clear" w:fill="f8f8f8"/>
    </w:rPr>
  </w:style>
  <w:style w:type="character" w:customStyle="1" w:styleId="AttributeTok">
    <w:name w:val="AttributeTok"/>
    <w:basedOn w:val="VerbatimChar"/>
    <w:rPr>
      <w:color w:val="204a87"/>
      <w:shd w:val="clear" w:fill="f8f8f8"/>
    </w:rPr>
  </w:style>
  <w:style w:type="character" w:customStyle="1" w:styleId="RegionMarkerTok">
    <w:name w:val="RegionMarkerTok"/>
    <w:basedOn w:val="VerbatimChar"/>
    <w:rPr>
      <w:shd w:val="clear" w:fill="f8f8f8"/>
    </w:rPr>
  </w:style>
  <w:style w:type="character" w:customStyle="1" w:styleId="InformationTok">
    <w:name w:val="InformationTok"/>
    <w:basedOn w:val="VerbatimChar"/>
    <w:rPr>
      <w:b/>
      <w:i/>
      <w:color w:val="8f5902"/>
      <w:shd w:val="clear" w:fill="f8f8f8"/>
    </w:rPr>
  </w:style>
  <w:style w:type="character" w:customStyle="1" w:styleId="WarningTok">
    <w:name w:val="WarningTok"/>
    <w:basedOn w:val="VerbatimChar"/>
    <w:rPr>
      <w:b/>
      <w:i/>
      <w:color w:val="8f5902"/>
      <w:shd w:val="clear" w:fill="f8f8f8"/>
    </w:rPr>
  </w:style>
  <w:style w:type="character" w:customStyle="1" w:styleId="AlertTok">
    <w:name w:val="AlertTok"/>
    <w:basedOn w:val="VerbatimChar"/>
    <w:rPr>
      <w:color w:val="ef2929"/>
      <w:shd w:val="clear" w:fill="f8f8f8"/>
    </w:rPr>
  </w:style>
  <w:style w:type="character" w:customStyle="1" w:styleId="ErrorTok">
    <w:name w:val="ErrorTok"/>
    <w:basedOn w:val="VerbatimChar"/>
    <w:rPr>
      <w:b/>
      <w:color w:val="a40000"/>
      <w:shd w:val="clear" w:fill="f8f8f8"/>
    </w:rPr>
  </w:style>
  <w:style w:type="character" w:customStyle="1" w:styleId="NormalTok">
    <w:name w:val="NormalTok"/>
    <w:basedOn w:val="VerbatimChar"/>
    <w:rPr>
      <w:shd w:val="clear" w:fill="f8f8f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header7.xml" Type="http://schemas.openxmlformats.org/officeDocument/2006/relationships/header" /><Relationship Id="rId11" Target="header4.xml" Type="http://schemas.openxmlformats.org/officeDocument/2006/relationships/header" /><Relationship Id="rId12" Target="header6.xml" Type="http://schemas.openxmlformats.org/officeDocument/2006/relationships/header" /><Relationship Id="rId13" Target="header3.xml" Type="http://schemas.openxmlformats.org/officeDocument/2006/relationships/header" /><Relationship Id="rId14" Target="header2.xml" Type="http://schemas.openxmlformats.org/officeDocument/2006/relationships/header" /><Relationship Id="rId15" Target="header5.xml" Type="http://schemas.openxmlformats.org/officeDocument/2006/relationships/header" /><Relationship Id="rId16" Target="footer2.xml" Type="http://schemas.openxmlformats.org/officeDocument/2006/relationships/footer" /><Relationship Id="rId17" Target="footer4.xml" Type="http://schemas.openxmlformats.org/officeDocument/2006/relationships/footer" /><Relationship Id="rId18" Target="footer3.xml" Type="http://schemas.openxmlformats.org/officeDocument/2006/relationships/footer" /><Relationship Id="rId19" Target="footer1.xml" Type="http://schemas.openxmlformats.org/officeDocument/2006/relationships/footer" /><Relationship Id="rId20" Target="footer5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13</Pages>
  <Words>2559</Words>
  <Characters>2765</Characters>
  <Application>Microsoft Office Word</Application>
  <DocSecurity>0</DocSecurity>
  <Lines>276</Lines>
  <Paragraphs>332</Paragraphs>
  <ScaleCrop>false</ScaleCrop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福建水务营收系统-客户服务模块正文</dc:title>
  <dc:creator>系统设计团队</dc:creator>
  <cp:keywords/>
  <dcterms:created xsi:type="dcterms:W3CDTF">2026-04-02T09:36:05Z</dcterms:created>
  <dcterms:modified xsi:type="dcterms:W3CDTF">2026-04-02T09:36:05Z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Kmainfont">
    <vt:lpwstr>PingFang SC</vt:lpwstr>
  </property>
  <property fmtid="{D5CDD505-2E9C-101B-9397-08002B2CF9AE}" pid="3" name="authority">
    <vt:lpwstr>secondary</vt:lpwstr>
  </property>
  <property fmtid="{D5CDD505-2E9C-101B-9397-08002B2CF9AE}" pid="4" name="date">
    <vt:lpwstr>2024年12月19日</vt:lpwstr>
  </property>
  <property fmtid="{D5CDD505-2E9C-101B-9397-08002B2CF9AE}" pid="5" name="doc_id">
    <vt:lpwstr>DT-13-CS</vt:lpwstr>
  </property>
  <property fmtid="{D5CDD505-2E9C-101B-9397-08002B2CF9AE}" pid="6" name="doc_role">
    <vt:lpwstr>module_body</vt:lpwstr>
  </property>
  <property fmtid="{D5CDD505-2E9C-101B-9397-08002B2CF9AE}" pid="7" name="documentclass">
    <vt:lpwstr>article</vt:lpwstr>
  </property>
  <property fmtid="{D5CDD505-2E9C-101B-9397-08002B2CF9AE}" pid="8" name="fontsize">
    <vt:lpwstr>11pt</vt:lpwstr>
  </property>
  <property fmtid="{D5CDD505-2E9C-101B-9397-08002B2CF9AE}" pid="9" name="geometry">
    <vt:lpwstr>margin=1in</vt:lpwstr>
  </property>
  <property fmtid="{D5CDD505-2E9C-101B-9397-08002B2CF9AE}" pid="10" name="last_reviewed">
    <vt:lpwstr>2026-03-18</vt:lpwstr>
  </property>
  <property fmtid="{D5CDD505-2E9C-101B-9397-08002B2CF9AE}" pid="11" name="mainfont">
    <vt:lpwstr>PingFang SC</vt:lpwstr>
  </property>
  <property fmtid="{D5CDD505-2E9C-101B-9397-08002B2CF9AE}" pid="12" name="retrieval_priority">
    <vt:lpwstr>P1</vt:lpwstr>
  </property>
  <property fmtid="{D5CDD505-2E9C-101B-9397-08002B2CF9AE}" pid="13" name="scope">
    <vt:lpwstr>详细设计-客户服务</vt:lpwstr>
  </property>
  <property fmtid="{D5CDD505-2E9C-101B-9397-08002B2CF9AE}" pid="14" name="source_of_truth">
    <vt:lpwstr>False</vt:lpwstr>
  </property>
</Properties>
</file>