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福建水务营收系统-系统架构设计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35" w:name="福建水务营收系统总体架构说明"/>
    <w:p>
      <w:pPr>
        <w:pStyle w:val="1"/>
      </w:pPr>
      <w:r>
        <w:rPr>
          <w:rFonts w:hint="eastAsia"/>
        </w:rPr>
        <w:t xml:space="preserve">福建水务营收系统总体架构说明</w:t>
      </w:r>
    </w:p>
    <w:bookmarkStart w:id="20" w:name="文档定位"/>
    <w:p>
      <w:pPr>
        <w:pStyle w:val="2"/>
      </w:pPr>
      <w:r>
        <w:t xml:space="preserve">1. </w:t>
      </w:r>
      <w:r>
        <w:rPr>
          <w:rFonts w:hint="eastAsia"/>
        </w:rPr>
        <w:t xml:space="preserve">文档定位</w:t>
      </w:r>
    </w:p>
    <w:p>
      <w:pPr>
        <w:pStyle w:val="FirstParagraph"/>
      </w:pPr>
      <w:r>
        <w:rPr>
          <w:rFonts w:hint="eastAsia"/>
        </w:rPr>
        <w:t xml:space="preserve">本文档用于沉淀系统总体架构的分层方式、子系统边界和跨系统协同原则，作为</w:t>
      </w:r>
      <w:r>
        <w:t xml:space="preserve"> </w:t>
      </w:r>
      <w:r>
        <w:rPr>
          <w:rStyle w:val="VerbatimChar"/>
        </w:rPr>
        <w:t xml:space="preserve">03_Summary_Design.md</w:t>
      </w:r>
      <w:r>
        <w:t xml:space="preserve"> </w:t>
      </w:r>
      <w:r>
        <w:rPr>
          <w:rFonts w:hint="eastAsia"/>
        </w:rPr>
        <w:t xml:space="preserve">的架构视图补充。</w:t>
      </w:r>
      <w:r>
        <w:br/>
      </w:r>
      <w:r>
        <w:rPr>
          <w:rFonts w:hint="eastAsia"/>
        </w:rPr>
        <w:t xml:space="preserve">本文不承载模块级实现细节、接口字段细节和数据库字段细节，避免与主文档重复维护。</w:t>
      </w:r>
    </w:p>
    <w:bookmarkEnd w:id="20"/>
    <w:bookmarkStart w:id="23" w:name="设计输入与约束"/>
    <w:p>
      <w:pPr>
        <w:pStyle w:val="2"/>
      </w:pPr>
      <w:r>
        <w:t xml:space="preserve">2. </w:t>
      </w:r>
      <w:r>
        <w:rPr>
          <w:rFonts w:hint="eastAsia"/>
        </w:rPr>
        <w:t xml:space="preserve">设计输入与约束</w:t>
      </w:r>
    </w:p>
    <w:bookmarkStart w:id="21" w:name="输入来源"/>
    <w:p>
      <w:pPr>
        <w:pStyle w:val="3"/>
      </w:pPr>
      <w:r>
        <w:t xml:space="preserve">2.1 </w:t>
      </w:r>
      <w:r>
        <w:rPr>
          <w:rFonts w:hint="eastAsia"/>
        </w:rPr>
        <w:t xml:space="preserve">输入来源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主文档：</w:t>
      </w:r>
      <w:r>
        <w:rPr>
          <w:rStyle w:val="VerbatimChar"/>
        </w:rPr>
        <w:t xml:space="preserve">03_Summary_Design.md</w:t>
      </w:r>
      <w:r>
        <w:rPr>
          <w:rFonts w:hint="eastAsia"/>
        </w:rPr>
        <w:t xml:space="preserve">（唯一真源）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详细设计：</w:t>
      </w:r>
      <w:r>
        <w:rPr>
          <w:rStyle w:val="VerbatimChar"/>
        </w:rPr>
        <w:t xml:space="preserve">../02_Detailed_Design/01_Detailed_Design.md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技术专项：</w:t>
      </w:r>
      <w:r>
        <w:rPr>
          <w:rStyle w:val="VerbatimChar"/>
        </w:rPr>
        <w:t xml:space="preserve">../03_Technical_Design/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历史与对照资料：</w:t>
      </w:r>
      <w:r>
        <w:rPr>
          <w:rStyle w:val="VerbatimChar"/>
        </w:rPr>
        <w:t xml:space="preserve">../04_Appendix/Archive/</w:t>
      </w:r>
      <w:r>
        <w:t xml:space="preserve">、</w:t>
      </w:r>
      <w:r>
        <w:rPr>
          <w:rStyle w:val="VerbatimChar"/>
        </w:rPr>
        <w:t xml:space="preserve">../../guides/</w:t>
      </w:r>
    </w:p>
    <w:bookmarkEnd w:id="21"/>
    <w:bookmarkStart w:id="22" w:name="约束原则"/>
    <w:p>
      <w:pPr>
        <w:pStyle w:val="3"/>
      </w:pPr>
      <w:r>
        <w:t xml:space="preserve">2.2 </w:t>
      </w:r>
      <w:r>
        <w:rPr>
          <w:rFonts w:hint="eastAsia"/>
        </w:rPr>
        <w:t xml:space="preserve">约束原则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项目名称统一为“福建水务营收系统”。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接口编号与模块编号区分，接口编号使用</w:t>
      </w:r>
      <w:r>
        <w:t xml:space="preserve"> </w:t>
      </w:r>
      <w:r>
        <w:rPr>
          <w:rStyle w:val="VerbatimChar"/>
        </w:rPr>
        <w:t xml:space="preserve">IF-</w:t>
      </w:r>
      <w:r>
        <w:t xml:space="preserve"> </w:t>
      </w:r>
      <w:r>
        <w:rPr>
          <w:rFonts w:hint="eastAsia"/>
        </w:rPr>
        <w:t xml:space="preserve">前缀。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数据库总体口径保持与主文档一致（达梦数据库</w:t>
      </w:r>
      <w:r>
        <w:t xml:space="preserve"> </w:t>
      </w:r>
      <w:r>
        <w:rPr>
          <w:rFonts w:hint="eastAsia"/>
        </w:rPr>
        <w:t xml:space="preserve">8.0+）。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图文必须一致；图示变更需同步核对主文档对应章节。</w:t>
      </w:r>
    </w:p>
    <w:bookmarkEnd w:id="22"/>
    <w:bookmarkEnd w:id="23"/>
    <w:bookmarkStart w:id="24" w:name="总体逻辑架构"/>
    <w:p>
      <w:pPr>
        <w:pStyle w:val="2"/>
      </w:pPr>
      <w:r>
        <w:t xml:space="preserve">3. </w:t>
      </w:r>
      <w:r>
        <w:rPr>
          <w:rFonts w:hint="eastAsia"/>
        </w:rPr>
        <w:t xml:space="preserve">总体逻辑架构</w:t>
      </w:r>
    </w:p>
    <w:p>
      <w:pPr>
        <w:pStyle w:val="SourceCode"/>
      </w:pPr>
      <w:r>
        <w:rPr>
          <w:rStyle w:val="VerbatimChar"/>
        </w:rPr>
        <w:t xml:space="preserve">flowchart TB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Layer_Presentation["表现层"]</w:t>
      </w:r>
      <w:r>
        <w:br/>
      </w:r>
      <w:r>
        <w:rPr>
          <w:rStyle w:val="VerbatimChar"/>
        </w:rPr>
        <w:t xml:space="preserve">        P_Web["Web </w:t>
      </w:r>
      <w:r>
        <w:rPr>
          <w:rStyle w:val="VerbatimChar"/>
          <w:rFonts w:hint="eastAsia"/>
        </w:rPr>
        <w:t xml:space="preserve">管理端"]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P_App["手机抄表</w:t>
      </w:r>
      <w:r>
        <w:rPr>
          <w:rStyle w:val="VerbatimChar"/>
        </w:rPr>
        <w:t xml:space="preserve"> APP"]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P_Channel["微网厅/渠道端"]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Layer_Gateway["接入与网关层"]</w:t>
      </w:r>
      <w:r>
        <w:br/>
      </w:r>
      <w:r>
        <w:rPr>
          <w:rStyle w:val="VerbatimChar"/>
        </w:rPr>
        <w:t xml:space="preserve">        G_Api["API </w:t>
      </w:r>
      <w:r>
        <w:rPr>
          <w:rStyle w:val="VerbatimChar"/>
          <w:rFonts w:hint="eastAsia"/>
        </w:rPr>
        <w:t xml:space="preserve">网关"]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G_Auth["统一认证与鉴权"]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Layer_Business["业务服务层"]</w:t>
      </w:r>
      <w:r>
        <w:br/>
      </w:r>
      <w:r>
        <w:rPr>
          <w:rStyle w:val="VerbatimChar"/>
        </w:rPr>
        <w:t xml:space="preserve">        B_SYS001["SYS-001 </w:t>
      </w:r>
      <w:r>
        <w:rPr>
          <w:rStyle w:val="VerbatimChar"/>
          <w:rFonts w:hint="eastAsia"/>
        </w:rPr>
        <w:t xml:space="preserve">统一平台"]</w:t>
      </w:r>
      <w:r>
        <w:br/>
      </w:r>
      <w:r>
        <w:rPr>
          <w:rStyle w:val="VerbatimChar"/>
        </w:rPr>
        <w:t xml:space="preserve">        B_SYS002["SYS-002 </w:t>
      </w:r>
      <w:r>
        <w:rPr>
          <w:rStyle w:val="VerbatimChar"/>
          <w:rFonts w:hint="eastAsia"/>
        </w:rPr>
        <w:t xml:space="preserve">营收业务系统"]</w:t>
      </w:r>
      <w:r>
        <w:br/>
      </w:r>
      <w:r>
        <w:rPr>
          <w:rStyle w:val="VerbatimChar"/>
        </w:rPr>
        <w:t xml:space="preserve">        B_SYS003["SYS-003 </w:t>
      </w:r>
      <w:r>
        <w:rPr>
          <w:rStyle w:val="VerbatimChar"/>
          <w:rFonts w:hint="eastAsia"/>
        </w:rPr>
        <w:t xml:space="preserve">手机抄表</w:t>
      </w:r>
      <w:r>
        <w:rPr>
          <w:rStyle w:val="VerbatimChar"/>
        </w:rPr>
        <w:t xml:space="preserve"> APP </w:t>
      </w:r>
      <w:r>
        <w:rPr>
          <w:rStyle w:val="VerbatimChar"/>
          <w:rFonts w:hint="eastAsia"/>
        </w:rPr>
        <w:t xml:space="preserve">服务"]</w:t>
      </w:r>
      <w:r>
        <w:br/>
      </w:r>
      <w:r>
        <w:rPr>
          <w:rStyle w:val="VerbatimChar"/>
        </w:rPr>
        <w:t xml:space="preserve">        B_SYS004["SYS-004 </w:t>
      </w:r>
      <w:r>
        <w:rPr>
          <w:rStyle w:val="VerbatimChar"/>
          <w:rFonts w:hint="eastAsia"/>
        </w:rPr>
        <w:t xml:space="preserve">微网厅系统"]</w:t>
      </w:r>
      <w:r>
        <w:br/>
      </w:r>
      <w:r>
        <w:rPr>
          <w:rStyle w:val="VerbatimChar"/>
        </w:rPr>
        <w:t xml:space="preserve">        B_SYS005["SYS-005 </w:t>
      </w:r>
      <w:r>
        <w:rPr>
          <w:rStyle w:val="VerbatimChar"/>
          <w:rFonts w:hint="eastAsia"/>
        </w:rPr>
        <w:t xml:space="preserve">工单管理系统"]</w:t>
      </w:r>
      <w:r>
        <w:br/>
      </w:r>
      <w:r>
        <w:rPr>
          <w:rStyle w:val="VerbatimChar"/>
        </w:rPr>
        <w:t xml:space="preserve">        B_SYS006["SYS-006 </w:t>
      </w:r>
      <w:r>
        <w:rPr>
          <w:rStyle w:val="VerbatimChar"/>
          <w:rFonts w:hint="eastAsia"/>
        </w:rPr>
        <w:t xml:space="preserve">表务管理系统"]</w:t>
      </w:r>
      <w:r>
        <w:br/>
      </w:r>
      <w:r>
        <w:rPr>
          <w:rStyle w:val="VerbatimChar"/>
        </w:rPr>
        <w:t xml:space="preserve">        B_SYS007["SYS-007 </w:t>
      </w:r>
      <w:r>
        <w:rPr>
          <w:rStyle w:val="VerbatimChar"/>
          <w:rFonts w:hint="eastAsia"/>
        </w:rPr>
        <w:t xml:space="preserve">报装业务系统"]</w:t>
      </w:r>
      <w:r>
        <w:br/>
      </w:r>
      <w:r>
        <w:rPr>
          <w:rStyle w:val="VerbatimChar"/>
        </w:rPr>
        <w:t xml:space="preserve">        B_SYS008["SYS-008 </w:t>
      </w:r>
      <w:r>
        <w:rPr>
          <w:rStyle w:val="VerbatimChar"/>
          <w:rFonts w:hint="eastAsia"/>
        </w:rPr>
        <w:t xml:space="preserve">发票服务子系统"]</w:t>
      </w:r>
      <w:r>
        <w:br/>
      </w:r>
      <w:r>
        <w:rPr>
          <w:rStyle w:val="VerbatimChar"/>
        </w:rPr>
        <w:t xml:space="preserve">        B_SYS009["SYS-009 </w:t>
      </w:r>
      <w:r>
        <w:rPr>
          <w:rStyle w:val="VerbatimChar"/>
          <w:rFonts w:hint="eastAsia"/>
        </w:rPr>
        <w:t xml:space="preserve">支付与银行结算子系统"]</w:t>
      </w:r>
      <w:r>
        <w:br/>
      </w:r>
      <w:r>
        <w:rPr>
          <w:rStyle w:val="VerbatimChar"/>
        </w:rPr>
        <w:t xml:space="preserve">        B_SYS010["SYS-010 </w:t>
      </w:r>
      <w:r>
        <w:rPr>
          <w:rStyle w:val="VerbatimChar"/>
          <w:rFonts w:hint="eastAsia"/>
        </w:rPr>
        <w:t xml:space="preserve">消息服务子系统"]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Layer_Infrastructure["基础能力层"]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I_Workflow["工作流能力"]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I_File["文件与附件能力"]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I_Monitor["监控与审计能力"]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I_Integration["外部集成适配能力"]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Layer_Data["数据层"]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D_DM["达梦数据库</w:t>
      </w:r>
      <w:r>
        <w:rPr>
          <w:rStyle w:val="VerbatimChar"/>
        </w:rPr>
        <w:t xml:space="preserve"> 8.0+"]</w:t>
      </w:r>
      <w:r>
        <w:br/>
      </w:r>
      <w:r>
        <w:rPr>
          <w:rStyle w:val="VerbatimChar"/>
        </w:rPr>
        <w:t xml:space="preserve">        D_Redis["Redis </w:t>
      </w:r>
      <w:r>
        <w:rPr>
          <w:rStyle w:val="VerbatimChar"/>
          <w:rFonts w:hint="eastAsia"/>
        </w:rPr>
        <w:t xml:space="preserve">缓存"]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D_Object["对象存储"]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Layer_Presentation --&gt; Layer_Gateway</w:t>
      </w:r>
      <w:r>
        <w:br/>
      </w:r>
      <w:r>
        <w:rPr>
          <w:rStyle w:val="VerbatimChar"/>
        </w:rPr>
        <w:t xml:space="preserve">    Layer_Gateway --&gt; Layer_Business</w:t>
      </w:r>
      <w:r>
        <w:br/>
      </w:r>
      <w:r>
        <w:rPr>
          <w:rStyle w:val="VerbatimChar"/>
        </w:rPr>
        <w:t xml:space="preserve">    Layer_Business --&gt; Layer_Infrastructure</w:t>
      </w:r>
      <w:r>
        <w:br/>
      </w:r>
      <w:r>
        <w:rPr>
          <w:rStyle w:val="VerbatimChar"/>
        </w:rPr>
        <w:t xml:space="preserve">    Layer_Business --&gt; Layer_Data</w:t>
      </w:r>
    </w:p>
    <w:bookmarkEnd w:id="24"/>
    <w:bookmarkStart w:id="25" w:name="子系统边界矩阵"/>
    <w:p>
      <w:pPr>
        <w:pStyle w:val="2"/>
      </w:pPr>
      <w:r>
        <w:t xml:space="preserve">4. </w:t>
      </w:r>
      <w:r>
        <w:rPr>
          <w:rFonts w:hint="eastAsia"/>
        </w:rPr>
        <w:t xml:space="preserve">子系统边界矩阵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核心职责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边界说明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SYS-001 </w:t>
            </w:r>
            <w:r>
              <w:rPr>
                <w:rFonts w:hint="eastAsia"/>
              </w:rPr>
              <w:t xml:space="preserve">统一平台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认证、权限、组织、参数、租户、监控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不承载具体行业业务流程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SYS-002 </w:t>
            </w:r>
            <w:r>
              <w:rPr>
                <w:rFonts w:hint="eastAsia"/>
              </w:rPr>
              <w:t xml:space="preserve">营收业务系统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客户、抄表开账、收费、账务、客服核心能力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通过接口调用基础服务，不重复建设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SYS-003 </w:t>
            </w:r>
            <w:r>
              <w:rPr>
                <w:rFonts w:hint="eastAsia"/>
              </w:rPr>
              <w:t xml:space="preserve">手机抄表</w:t>
            </w:r>
            <w:r>
              <w:t xml:space="preserve"> APP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现场作业、移动采集、任务处理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以移动作业能力为主，不替代后台管理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SYS-004 </w:t>
            </w:r>
            <w:r>
              <w:rPr>
                <w:rFonts w:hint="eastAsia"/>
              </w:rPr>
              <w:t xml:space="preserve">微网厅系统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客户线上服务与查询缴费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以渠道服务为主，不承载后台运营管理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SYS-005 </w:t>
            </w:r>
            <w:r>
              <w:rPr>
                <w:rFonts w:hint="eastAsia"/>
              </w:rPr>
              <w:t xml:space="preserve">工单管理系统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工单流转、状态跟踪、绩效统计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专注工单域，不内嵌收费结算逻辑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SYS-006 </w:t>
            </w:r>
            <w:r>
              <w:rPr>
                <w:rFonts w:hint="eastAsia"/>
              </w:rPr>
              <w:t xml:space="preserve">表务管理系统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表务档案、库存、设备管理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专注设备与库存域，不承担账务处理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SYS-007 </w:t>
            </w:r>
            <w:r>
              <w:rPr>
                <w:rFonts w:hint="eastAsia"/>
              </w:rPr>
              <w:t xml:space="preserve">报装业务系统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报装流程、工程与档案管理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专注报装域流程，不替代统一工单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SYS-008 </w:t>
            </w:r>
            <w:r>
              <w:rPr>
                <w:rFonts w:hint="eastAsia"/>
              </w:rPr>
              <w:t xml:space="preserve">发票服务子系统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开票与供应商适配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对外提供开票能力，不承载支付流程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SYS-009 </w:t>
            </w:r>
            <w:r>
              <w:rPr>
                <w:rFonts w:hint="eastAsia"/>
              </w:rPr>
              <w:t xml:space="preserve">支付与银行结算子系统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聚合支付、银行结算、对账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对外提供资金结算能力，不承载发票逻辑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SYS-010 </w:t>
            </w:r>
            <w:r>
              <w:rPr>
                <w:rFonts w:hint="eastAsia"/>
              </w:rPr>
              <w:t xml:space="preserve">消息服务子系统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短信/邮件/站内信等消息分发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对外提供消息能力，不承载业务决策</w:t>
            </w:r>
          </w:p>
        </w:tc>
      </w:tr>
    </w:tbl>
    <w:bookmarkEnd w:id="25"/>
    <w:bookmarkStart w:id="28" w:name="跨系统协同原则"/>
    <w:p>
      <w:pPr>
        <w:pStyle w:val="2"/>
      </w:pPr>
      <w:r>
        <w:t xml:space="preserve">5. </w:t>
      </w:r>
      <w:r>
        <w:rPr>
          <w:rFonts w:hint="eastAsia"/>
        </w:rPr>
        <w:t xml:space="preserve">跨系统协同原则</w:t>
      </w:r>
    </w:p>
    <w:bookmarkStart w:id="26" w:name="接口协同"/>
    <w:p>
      <w:pPr>
        <w:pStyle w:val="3"/>
      </w:pPr>
      <w:r>
        <w:t xml:space="preserve">5.1 </w:t>
      </w:r>
      <w:r>
        <w:rPr>
          <w:rFonts w:hint="eastAsia"/>
        </w:rPr>
        <w:t xml:space="preserve">接口协同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子系统间交互通过标准化接口进行，避免跨库直连。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接口编号遵循</w:t>
      </w:r>
      <w:r>
        <w:t xml:space="preserve"> </w:t>
      </w:r>
      <w:r>
        <w:rPr>
          <w:rStyle w:val="VerbatimChar"/>
        </w:rPr>
        <w:t xml:space="preserve">IF-</w:t>
      </w:r>
      <w:r>
        <w:t xml:space="preserve"> </w:t>
      </w:r>
      <w:r>
        <w:rPr>
          <w:rFonts w:hint="eastAsia"/>
        </w:rPr>
        <w:t xml:space="preserve">前缀规则，保持可追踪性。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对外集成能力由基础服务子系统统一收口，业务系统按需调用。</w:t>
      </w:r>
    </w:p>
    <w:bookmarkEnd w:id="26"/>
    <w:bookmarkStart w:id="27" w:name="事务与一致性"/>
    <w:p>
      <w:pPr>
        <w:pStyle w:val="3"/>
      </w:pPr>
      <w:r>
        <w:t xml:space="preserve">5.2 </w:t>
      </w:r>
      <w:r>
        <w:rPr>
          <w:rFonts w:hint="eastAsia"/>
        </w:rPr>
        <w:t xml:space="preserve">事务与一致性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同步事务优先控制在单子系统内部。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跨系统流程采用“状态驱动</w:t>
      </w:r>
      <w:r>
        <w:t xml:space="preserve"> + </w:t>
      </w:r>
      <w:r>
        <w:rPr>
          <w:rFonts w:hint="eastAsia"/>
        </w:rPr>
        <w:t xml:space="preserve">补偿机制”的一致性策略。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关键状态变更需具备审计记录与回溯能力。</w:t>
      </w:r>
    </w:p>
    <w:bookmarkEnd w:id="27"/>
    <w:bookmarkEnd w:id="28"/>
    <w:bookmarkStart w:id="29" w:name="数据架构原则"/>
    <w:p>
      <w:pPr>
        <w:pStyle w:val="2"/>
      </w:pPr>
      <w:r>
        <w:t xml:space="preserve">6. </w:t>
      </w:r>
      <w:r>
        <w:rPr>
          <w:rFonts w:hint="eastAsia"/>
        </w:rPr>
        <w:t xml:space="preserve">数据架构原则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核心业务数据统一落地至达梦数据库体系。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缓存仅用于性能优化，不作为业务真源。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主数据（客户、账户、设备、组织）在归属子系统维护，跨系统通过接口共享。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涉及敏感信息的数据遵循加密与脱敏规范，具体规则见安全专项文档。</w:t>
      </w:r>
    </w:p>
    <w:bookmarkEnd w:id="29"/>
    <w:bookmarkStart w:id="30" w:name="部署架构原则"/>
    <w:p>
      <w:pPr>
        <w:pStyle w:val="2"/>
      </w:pPr>
      <w:r>
        <w:t xml:space="preserve">7. </w:t>
      </w:r>
      <w:r>
        <w:rPr>
          <w:rFonts w:hint="eastAsia"/>
        </w:rPr>
        <w:t xml:space="preserve">部署架构原则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系统采用分层部署，接入层、业务层、数据层职责清晰。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支持容器化部署与统一运维管理，满足扩展与回滚要求。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网络访问遵循内外网分区与最小权限原则。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外部集成链路采用统一接入策略，降低耦合风险。</w:t>
      </w:r>
    </w:p>
    <w:bookmarkEnd w:id="30"/>
    <w:bookmarkStart w:id="31" w:name="安全与合规原则"/>
    <w:p>
      <w:pPr>
        <w:pStyle w:val="2"/>
      </w:pPr>
      <w:r>
        <w:t xml:space="preserve">8. </w:t>
      </w:r>
      <w:r>
        <w:rPr>
          <w:rFonts w:hint="eastAsia"/>
        </w:rPr>
        <w:t xml:space="preserve">安全与合规原则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统一认证、统一授权、统一审计。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关键业务接口启用访问控制、参数校验和日志追踪。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敏感数据执行分类保护与最小暴露。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安全设计细则以</w:t>
      </w:r>
      <w:r>
        <w:t xml:space="preserve"> </w:t>
      </w:r>
      <w:r>
        <w:rPr>
          <w:rStyle w:val="VerbatimChar"/>
        </w:rPr>
        <w:t xml:space="preserve">../03_Technical_Design/04_Security_Design.md</w:t>
      </w:r>
      <w:r>
        <w:t xml:space="preserve"> </w:t>
      </w:r>
      <w:r>
        <w:rPr>
          <w:rFonts w:hint="eastAsia"/>
        </w:rPr>
        <w:t xml:space="preserve">为准。</w:t>
      </w:r>
    </w:p>
    <w:bookmarkEnd w:id="31"/>
    <w:bookmarkStart w:id="32" w:name="非功能性要求概要层"/>
    <w:p>
      <w:pPr>
        <w:pStyle w:val="2"/>
      </w:pPr>
      <w:r>
        <w:t xml:space="preserve">9. </w:t>
      </w:r>
      <w:r>
        <w:rPr>
          <w:rFonts w:hint="eastAsia"/>
        </w:rPr>
        <w:t xml:space="preserve">非功能性要求（概要层）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架构要求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可用性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关键链路具备故障隔离与恢复能力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可扩展性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子系统边界稳定、能力可水平扩展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可维护性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文档、编号、接口边界可追踪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可观测性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关键流程具备日志、指标、审计记录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量化指标、容量规格与性能参数，以主文档和部署专项文档为准。</w:t>
      </w:r>
    </w:p>
    <w:bookmarkEnd w:id="32"/>
    <w:bookmarkStart w:id="33" w:name="与主文档映射"/>
    <w:p>
      <w:pPr>
        <w:pStyle w:val="2"/>
      </w:pPr>
      <w:r>
        <w:t xml:space="preserve">10. </w:t>
      </w:r>
      <w:r>
        <w:rPr>
          <w:rFonts w:hint="eastAsia"/>
        </w:rPr>
        <w:t xml:space="preserve">与主文档映射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本文档章节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主文档对应章节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总体逻辑架构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03_Summary_Design.md</w:t>
            </w:r>
            <w:r>
              <w:t xml:space="preserve"> </w:t>
            </w:r>
            <w:r>
              <w:rPr>
                <w:rFonts w:hint="eastAsia"/>
              </w:rPr>
              <w:t xml:space="preserve">中“系统架构设计/系统的逻辑架构设计”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子系统边界矩阵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03_Summary_Design.md</w:t>
            </w:r>
            <w:r>
              <w:t xml:space="preserve"> </w:t>
            </w:r>
            <w:r>
              <w:rPr>
                <w:rFonts w:hint="eastAsia"/>
              </w:rPr>
              <w:t xml:space="preserve">中“子系统定义/子系统列表”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跨系统协同原则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03_Summary_Design.md</w:t>
            </w:r>
            <w:r>
              <w:t xml:space="preserve"> </w:t>
            </w:r>
            <w:r>
              <w:rPr>
                <w:rFonts w:hint="eastAsia"/>
              </w:rPr>
              <w:t xml:space="preserve">中“子系统间关系/主要接口定义”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数据与部署原则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03_Summary_Design.md</w:t>
            </w:r>
            <w:r>
              <w:t xml:space="preserve"> </w:t>
            </w:r>
            <w:r>
              <w:rPr>
                <w:rFonts w:hint="eastAsia"/>
              </w:rPr>
              <w:t xml:space="preserve">中“系统的物理架构设计”</w:t>
            </w:r>
          </w:p>
        </w:tc>
      </w:tr>
    </w:tbl>
    <w:bookmarkEnd w:id="33"/>
    <w:bookmarkStart w:id="34" w:name="维护规则"/>
    <w:p>
      <w:pPr>
        <w:pStyle w:val="2"/>
      </w:pPr>
      <w:r>
        <w:t xml:space="preserve">11. </w:t>
      </w:r>
      <w:r>
        <w:rPr>
          <w:rFonts w:hint="eastAsia"/>
        </w:rPr>
        <w:t xml:space="preserve">维护规则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本文档仅维护“总体层原则”，不扩展为详细设计文档。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若与主文档冲突，必须先修正本文档并在台账登记。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修改后至少执行：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make validate-file FILE=docs/design/01_Overview/02_System_Architecture.md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make check-links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make validate-mermaid</w:t>
      </w:r>
    </w:p>
    <w:bookmarkEnd w:id="34"/>
    <w:bookmarkEnd w:id="35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福建水务营收系统-系统架构设计</dc:title>
  <dc:creator>系统设计团队</dc:creator>
  <cp:keywords/>
  <dcterms:created xsi:type="dcterms:W3CDTF">2026-04-02T08:31:58Z</dcterms:created>
  <dcterms:modified xsi:type="dcterms:W3CDTF">2026-04-02T08:31:58Z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supporting</vt:lpwstr>
  </property>
  <property fmtid="{D5CDD505-2E9C-101B-9397-08002B2CF9AE}" pid="4" name="date">
    <vt:lpwstr>2024年12月19日</vt:lpwstr>
  </property>
  <property fmtid="{D5CDD505-2E9C-101B-9397-08002B2CF9AE}" pid="5" name="doc_id">
    <vt:lpwstr>HL-02-ARCHITECTURE</vt:lpwstr>
  </property>
  <property fmtid="{D5CDD505-2E9C-101B-9397-08002B2CF9AE}" pid="6" name="doc_role">
    <vt:lpwstr>supporting_document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总体设计-系统架构</vt:lpwstr>
  </property>
  <property fmtid="{D5CDD505-2E9C-101B-9397-08002B2CF9AE}" pid="14" name="source_of_truth">
    <vt:lpwstr>False</vt:lpwstr>
  </property>
</Properties>
</file>