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1C092">
      <w:pPr>
        <w:pStyle w:val="2"/>
        <w:bidi w:val="0"/>
      </w:pPr>
      <w:bookmarkStart w:id="0" w:name="福建水务营收系统整体部署方案说明书"/>
      <w:r>
        <w:rPr>
          <w:rFonts w:hint="eastAsia"/>
        </w:rPr>
        <w:t>福建水务营收系统整体部</w:t>
      </w:r>
      <w:bookmarkStart w:id="37" w:name="_GoBack"/>
      <w:bookmarkEnd w:id="37"/>
      <w:r>
        <w:rPr>
          <w:rFonts w:hint="eastAsia"/>
        </w:rPr>
        <w:t>署方案说明书</w:t>
      </w:r>
    </w:p>
    <w:p w14:paraId="5A850294">
      <w:pPr>
        <w:pStyle w:val="3"/>
      </w:pPr>
      <w:bookmarkStart w:id="1" w:name="文档信息"/>
      <w:r>
        <w:rPr>
          <w:rFonts w:hint="eastAsia"/>
        </w:rPr>
        <w:t>文档信息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2"/>
        <w:gridCol w:w="3828"/>
      </w:tblGrid>
      <w:tr w14:paraId="23ECA411">
        <w:trPr>
          <w:tblHeader/>
        </w:trPr>
        <w:tc>
          <w:p w14:paraId="3CD73820">
            <w:r>
              <w:rPr>
                <w:rFonts w:hint="eastAsia"/>
              </w:rPr>
              <w:t>项目信息</w:t>
            </w:r>
          </w:p>
        </w:tc>
        <w:tc>
          <w:p w14:paraId="5EF5CB97">
            <w:r>
              <w:rPr>
                <w:rFonts w:hint="eastAsia"/>
              </w:rPr>
              <w:t>详情</w:t>
            </w:r>
          </w:p>
        </w:tc>
      </w:tr>
      <w:tr w14:paraId="5404AA3D">
        <w:tc>
          <w:p w14:paraId="51358DB5">
            <w:r>
              <w:rPr>
                <w:rFonts w:hint="eastAsia"/>
                <w:b/>
                <w:bCs/>
              </w:rPr>
              <w:t>项目名称</w:t>
            </w:r>
          </w:p>
        </w:tc>
        <w:tc>
          <w:p w14:paraId="1E968095">
            <w:r>
              <w:rPr>
                <w:rFonts w:hint="eastAsia"/>
              </w:rPr>
              <w:t>福建水务营收系统</w:t>
            </w:r>
          </w:p>
        </w:tc>
      </w:tr>
      <w:tr w14:paraId="7A68849C">
        <w:tc>
          <w:p w14:paraId="7C064044">
            <w:r>
              <w:rPr>
                <w:rFonts w:hint="eastAsia"/>
                <w:b/>
                <w:bCs/>
              </w:rPr>
              <w:t>文档类型</w:t>
            </w:r>
          </w:p>
        </w:tc>
        <w:tc>
          <w:p w14:paraId="485441C6">
            <w:r>
              <w:rPr>
                <w:rFonts w:hint="eastAsia"/>
              </w:rPr>
              <w:t>技术专题说明</w:t>
            </w:r>
          </w:p>
        </w:tc>
      </w:tr>
      <w:tr w14:paraId="3898182C">
        <w:tc>
          <w:p w14:paraId="12CA531D">
            <w:r>
              <w:rPr>
                <w:rFonts w:hint="eastAsia"/>
                <w:b/>
                <w:bCs/>
              </w:rPr>
              <w:t>方案定位</w:t>
            </w:r>
          </w:p>
        </w:tc>
        <w:tc>
          <w:p w14:paraId="3AC9939B">
            <w:r>
              <w:rPr>
                <w:rFonts w:hint="eastAsia"/>
              </w:rPr>
              <w:t>已采纳</w:t>
            </w:r>
            <w:r>
              <w:t xml:space="preserve"> PostgreSQL 16 </w:t>
            </w:r>
            <w:r>
              <w:rPr>
                <w:rFonts w:hint="eastAsia"/>
              </w:rPr>
              <w:t>方案二作为数据库部署方案后的整体部署方案</w:t>
            </w:r>
          </w:p>
        </w:tc>
      </w:tr>
      <w:tr w14:paraId="62A91EC9">
        <w:tc>
          <w:p w14:paraId="53E1EA97">
            <w:r>
              <w:rPr>
                <w:rFonts w:hint="eastAsia"/>
                <w:b/>
                <w:bCs/>
              </w:rPr>
              <w:t>文档版本</w:t>
            </w:r>
          </w:p>
        </w:tc>
        <w:tc>
          <w:p w14:paraId="78EC68CC">
            <w:r>
              <w:t>v1.0</w:t>
            </w:r>
          </w:p>
        </w:tc>
      </w:tr>
      <w:tr w14:paraId="6EFBAEC8">
        <w:tc>
          <w:p w14:paraId="7C7E3C76">
            <w:r>
              <w:rPr>
                <w:rFonts w:hint="eastAsia"/>
                <w:b/>
                <w:bCs/>
              </w:rPr>
              <w:t>编写日期</w:t>
            </w:r>
          </w:p>
        </w:tc>
        <w:tc>
          <w:p w14:paraId="0D57D617">
            <w:r>
              <w:t>2026-03-26</w:t>
            </w:r>
          </w:p>
        </w:tc>
      </w:tr>
      <w:tr w14:paraId="442D07A3">
        <w:tc>
          <w:p w14:paraId="3D27F02C">
            <w:r>
              <w:rPr>
                <w:rFonts w:hint="eastAsia"/>
                <w:b/>
                <w:bCs/>
              </w:rPr>
              <w:t>文档状态</w:t>
            </w:r>
          </w:p>
        </w:tc>
        <w:tc>
          <w:p w14:paraId="52FFEC29">
            <w:r>
              <w:t xml:space="preserve">✅ </w:t>
            </w:r>
            <w:r>
              <w:rPr>
                <w:rFonts w:hint="eastAsia"/>
              </w:rPr>
              <w:t>正式建议稿</w:t>
            </w:r>
          </w:p>
        </w:tc>
      </w:tr>
      <w:bookmarkEnd w:id="1"/>
    </w:tbl>
    <w:p w14:paraId="099F6F26">
      <w:pPr>
        <w:pStyle w:val="3"/>
      </w:pPr>
      <w:bookmarkStart w:id="2" w:name="目录"/>
      <w:r>
        <w:rPr>
          <w:rFonts w:hint="eastAsia"/>
        </w:rPr>
        <w:t>目录</w:t>
      </w:r>
    </w:p>
    <w:p w14:paraId="046803A9">
      <w:pPr>
        <w:numPr>
          <w:ilvl w:val="0"/>
          <w:numId w:val="2"/>
        </w:numPr>
      </w:pPr>
      <w:r>
        <w:rPr>
          <w:rFonts w:hint="eastAsia"/>
        </w:rPr>
        <w:t>编制目的</w:t>
      </w:r>
    </w:p>
    <w:p w14:paraId="3EC991B7">
      <w:pPr>
        <w:numPr>
          <w:ilvl w:val="0"/>
          <w:numId w:val="2"/>
        </w:numPr>
      </w:pPr>
      <w:r>
        <w:rPr>
          <w:rFonts w:hint="eastAsia"/>
        </w:rPr>
        <w:t>方案前提</w:t>
      </w:r>
    </w:p>
    <w:p w14:paraId="76DCBBF8">
      <w:pPr>
        <w:numPr>
          <w:ilvl w:val="0"/>
          <w:numId w:val="2"/>
        </w:numPr>
      </w:pPr>
      <w:r>
        <w:rPr>
          <w:rFonts w:hint="eastAsia"/>
        </w:rPr>
        <w:t>整体部署原则</w:t>
      </w:r>
    </w:p>
    <w:p w14:paraId="3E6EDD66">
      <w:pPr>
        <w:numPr>
          <w:ilvl w:val="0"/>
          <w:numId w:val="2"/>
        </w:numPr>
      </w:pPr>
      <w:r>
        <w:rPr>
          <w:rFonts w:hint="eastAsia"/>
        </w:rPr>
        <w:t>软件拓扑图</w:t>
      </w:r>
    </w:p>
    <w:p w14:paraId="41538943">
      <w:pPr>
        <w:numPr>
          <w:ilvl w:val="0"/>
          <w:numId w:val="2"/>
        </w:numPr>
      </w:pPr>
      <w:r>
        <w:rPr>
          <w:rFonts w:hint="eastAsia"/>
        </w:rPr>
        <w:t>主机部署图</w:t>
      </w:r>
    </w:p>
    <w:p w14:paraId="3FFB7BB1">
      <w:pPr>
        <w:numPr>
          <w:ilvl w:val="0"/>
          <w:numId w:val="2"/>
        </w:numPr>
      </w:pPr>
      <w:r>
        <w:rPr>
          <w:rFonts w:hint="eastAsia"/>
        </w:rPr>
        <w:t>数据库访问链路图</w:t>
      </w:r>
    </w:p>
    <w:p w14:paraId="26821035">
      <w:pPr>
        <w:numPr>
          <w:ilvl w:val="0"/>
          <w:numId w:val="2"/>
        </w:numPr>
      </w:pPr>
      <w:r>
        <w:rPr>
          <w:rFonts w:hint="eastAsia"/>
        </w:rPr>
        <w:t>备份恢复链路图</w:t>
      </w:r>
    </w:p>
    <w:p w14:paraId="65C68485">
      <w:pPr>
        <w:numPr>
          <w:ilvl w:val="0"/>
          <w:numId w:val="2"/>
        </w:numPr>
      </w:pPr>
      <w:r>
        <w:rPr>
          <w:rFonts w:hint="eastAsia"/>
        </w:rPr>
        <w:t>网络拓扑图</w:t>
      </w:r>
    </w:p>
    <w:p w14:paraId="3F3AC710">
      <w:pPr>
        <w:numPr>
          <w:ilvl w:val="0"/>
          <w:numId w:val="2"/>
        </w:numPr>
      </w:pPr>
      <w:r>
        <w:rPr>
          <w:rFonts w:hint="eastAsia"/>
        </w:rPr>
        <w:t>主机角色与部署内容</w:t>
      </w:r>
    </w:p>
    <w:p w14:paraId="33BD91EE">
      <w:pPr>
        <w:numPr>
          <w:ilvl w:val="0"/>
          <w:numId w:val="2"/>
        </w:numPr>
      </w:pPr>
      <w:r>
        <w:rPr>
          <w:rFonts w:hint="eastAsia"/>
        </w:rPr>
        <w:t>资源配置建议</w:t>
      </w:r>
    </w:p>
    <w:p w14:paraId="22B1325A">
      <w:pPr>
        <w:numPr>
          <w:ilvl w:val="0"/>
          <w:numId w:val="2"/>
        </w:numPr>
      </w:pPr>
      <w:r>
        <w:rPr>
          <w:rFonts w:hint="eastAsia"/>
        </w:rPr>
        <w:t>资源审批汇总表</w:t>
      </w:r>
    </w:p>
    <w:p w14:paraId="735D727C">
      <w:pPr>
        <w:numPr>
          <w:ilvl w:val="0"/>
          <w:numId w:val="2"/>
        </w:numPr>
      </w:pPr>
      <w:r>
        <w:rPr>
          <w:rFonts w:hint="eastAsia"/>
        </w:rPr>
        <w:t>基础软件与版本清单</w:t>
      </w:r>
    </w:p>
    <w:p w14:paraId="43EA6C3C">
      <w:pPr>
        <w:numPr>
          <w:ilvl w:val="0"/>
          <w:numId w:val="2"/>
        </w:numPr>
      </w:pPr>
      <w:r>
        <w:rPr>
          <w:rFonts w:hint="eastAsia"/>
        </w:rPr>
        <w:t>部署方式说明</w:t>
      </w:r>
    </w:p>
    <w:p w14:paraId="711BE41F">
      <w:pPr>
        <w:numPr>
          <w:ilvl w:val="0"/>
          <w:numId w:val="2"/>
        </w:numPr>
      </w:pPr>
      <w:r>
        <w:rPr>
          <w:rFonts w:hint="eastAsia"/>
        </w:rPr>
        <w:t>网络需求</w:t>
      </w:r>
    </w:p>
    <w:p w14:paraId="0BF7547D">
      <w:pPr>
        <w:numPr>
          <w:ilvl w:val="0"/>
          <w:numId w:val="2"/>
        </w:numPr>
      </w:pPr>
      <w:r>
        <w:rPr>
          <w:rFonts w:hint="eastAsia"/>
        </w:rPr>
        <w:t>网络开通清单</w:t>
      </w:r>
    </w:p>
    <w:p w14:paraId="7A47F4E0">
      <w:pPr>
        <w:numPr>
          <w:ilvl w:val="0"/>
          <w:numId w:val="2"/>
        </w:numPr>
      </w:pPr>
      <w:r>
        <w:rPr>
          <w:rFonts w:hint="eastAsia"/>
        </w:rPr>
        <w:t>访问控制与端口建议</w:t>
      </w:r>
    </w:p>
    <w:p w14:paraId="1057DF6E">
      <w:pPr>
        <w:numPr>
          <w:ilvl w:val="0"/>
          <w:numId w:val="2"/>
        </w:numPr>
      </w:pPr>
      <w:r>
        <w:rPr>
          <w:rFonts w:hint="eastAsia"/>
        </w:rPr>
        <w:t>实施步骤</w:t>
      </w:r>
    </w:p>
    <w:p w14:paraId="25DE1CE3">
      <w:pPr>
        <w:numPr>
          <w:ilvl w:val="0"/>
          <w:numId w:val="2"/>
        </w:numPr>
      </w:pPr>
      <w:r>
        <w:rPr>
          <w:rFonts w:hint="eastAsia"/>
        </w:rPr>
        <w:t>验收标准</w:t>
      </w:r>
    </w:p>
    <w:p w14:paraId="21285D8E">
      <w:pPr>
        <w:numPr>
          <w:ilvl w:val="0"/>
          <w:numId w:val="2"/>
        </w:numPr>
      </w:pPr>
      <w:r>
        <w:rPr>
          <w:rFonts w:hint="eastAsia"/>
        </w:rPr>
        <w:t>部署结论</w:t>
      </w:r>
    </w:p>
    <w:bookmarkEnd w:id="2"/>
    <w:p w14:paraId="1D6E1090">
      <w:pPr>
        <w:pStyle w:val="3"/>
      </w:pPr>
      <w:bookmarkStart w:id="3" w:name="编制目的"/>
      <w:r>
        <w:rPr>
          <w:rFonts w:hint="eastAsia"/>
        </w:rPr>
        <w:t>编制目的</w:t>
      </w:r>
    </w:p>
    <w:p w14:paraId="780B14FC">
      <w:r>
        <w:rPr>
          <w:rFonts w:hint="eastAsia"/>
        </w:rPr>
        <w:t>本文档用于在已采纳</w:t>
      </w:r>
      <w:r>
        <w:t xml:space="preserve"> PostgreSQL 16 </w:t>
      </w:r>
      <w:r>
        <w:rPr>
          <w:rFonts w:hint="eastAsia"/>
        </w:rPr>
        <w:t>方案二作为数据库部署方案的前提下，形成覆盖前端、后端、中间件、静态存储及数据库的一体化整体部署方案，作为甲方进行主机、网络、存储与基础软件资源审批的依据。</w:t>
      </w:r>
    </w:p>
    <w:bookmarkEnd w:id="3"/>
    <w:p w14:paraId="6699D163">
      <w:pPr>
        <w:pStyle w:val="3"/>
      </w:pPr>
      <w:bookmarkStart w:id="4" w:name="方案前提"/>
      <w:r>
        <w:rPr>
          <w:rFonts w:hint="eastAsia"/>
        </w:rPr>
        <w:t>方案前提</w:t>
      </w:r>
    </w:p>
    <w:p w14:paraId="15B56F21">
      <w:r>
        <w:rPr>
          <w:rFonts w:hint="eastAsia"/>
        </w:rPr>
        <w:t>本方案以以下前提为基础：</w:t>
      </w:r>
    </w:p>
    <w:p w14:paraId="3CF8A21F">
      <w:pPr>
        <w:numPr>
          <w:ilvl w:val="0"/>
          <w:numId w:val="3"/>
        </w:numPr>
      </w:pPr>
      <w:r>
        <w:rPr>
          <w:rFonts w:hint="eastAsia"/>
        </w:rPr>
        <w:t>数据库部署方案已采纳</w:t>
      </w:r>
      <w:r>
        <w:t xml:space="preserve"> </w:t>
      </w:r>
      <w:r>
        <w:rPr>
          <w:rFonts w:hint="eastAsia"/>
        </w:rPr>
        <w:t>PostgreSQL16_容灾与资源申请说明_含图表.docx</w:t>
      </w:r>
      <w:r>
        <w:t xml:space="preserve"> </w:t>
      </w:r>
      <w:r>
        <w:rPr>
          <w:rFonts w:hint="eastAsia"/>
        </w:rPr>
        <w:t>中的方案二，即“同城双可用区主备容灾方案”。</w:t>
      </w:r>
    </w:p>
    <w:p w14:paraId="319964C8">
      <w:pPr>
        <w:numPr>
          <w:ilvl w:val="0"/>
          <w:numId w:val="3"/>
        </w:numPr>
      </w:pPr>
      <w:r>
        <w:rPr>
          <w:rFonts w:hint="eastAsia"/>
        </w:rPr>
        <w:t>前端继续采用</w:t>
      </w:r>
      <w:r>
        <w:t xml:space="preserve"> Nginx + Vue3 </w:t>
      </w:r>
      <w:r>
        <w:rPr>
          <w:rFonts w:hint="eastAsia"/>
        </w:rPr>
        <w:t>的静态部署模式。</w:t>
      </w:r>
    </w:p>
    <w:p w14:paraId="1541F74B">
      <w:pPr>
        <w:numPr>
          <w:ilvl w:val="0"/>
          <w:numId w:val="3"/>
        </w:numPr>
      </w:pPr>
      <w:r>
        <w:rPr>
          <w:rFonts w:hint="eastAsia"/>
        </w:rPr>
        <w:t>对外访问经甲方或第三方管理的公网入口进行薄转发，不纳入本方案主机资源范围。</w:t>
      </w:r>
    </w:p>
    <w:p w14:paraId="5F22052A">
      <w:pPr>
        <w:numPr>
          <w:ilvl w:val="0"/>
          <w:numId w:val="3"/>
        </w:numPr>
      </w:pPr>
      <w:r>
        <w:rPr>
          <w:rFonts w:hint="eastAsia"/>
        </w:rPr>
        <w:t>内网</w:t>
      </w:r>
      <w:r>
        <w:t xml:space="preserve"> Nginx </w:t>
      </w:r>
      <w:r>
        <w:rPr>
          <w:rFonts w:hint="eastAsia"/>
        </w:rPr>
        <w:t>单独部署，负责将开放</w:t>
      </w:r>
      <w:r>
        <w:t xml:space="preserve"> API </w:t>
      </w:r>
      <w:r>
        <w:rPr>
          <w:rFonts w:hint="eastAsia"/>
        </w:rPr>
        <w:t>端点负载到两台业务应用节点。</w:t>
      </w:r>
    </w:p>
    <w:p w14:paraId="0571638A">
      <w:pPr>
        <w:numPr>
          <w:ilvl w:val="0"/>
          <w:numId w:val="3"/>
        </w:numPr>
      </w:pPr>
      <w:r>
        <w:rPr>
          <w:rFonts w:hint="eastAsia"/>
        </w:rPr>
        <w:t>两台业务应用节点内均部署</w:t>
      </w:r>
      <w:r>
        <w:t xml:space="preserve"> Spring Boot Gateway</w:t>
      </w:r>
      <w:r>
        <w:rPr>
          <w:rFonts w:hint="eastAsia"/>
        </w:rPr>
        <w:t>，作为微服务集群统一接入入口，并同时承载业务服务。</w:t>
      </w:r>
    </w:p>
    <w:p w14:paraId="4B57986A">
      <w:pPr>
        <w:numPr>
          <w:ilvl w:val="0"/>
          <w:numId w:val="3"/>
        </w:numPr>
      </w:pPr>
      <w:r>
        <w:rPr>
          <w:rFonts w:hint="eastAsia"/>
        </w:rPr>
        <w:t>中间件集中部署在</w:t>
      </w:r>
      <w:r>
        <w:t xml:space="preserve"> 1 </w:t>
      </w:r>
      <w:r>
        <w:rPr>
          <w:rFonts w:hint="eastAsia"/>
        </w:rPr>
        <w:t>台主机上。</w:t>
      </w:r>
    </w:p>
    <w:p w14:paraId="1A7B4AA2">
      <w:pPr>
        <w:numPr>
          <w:ilvl w:val="0"/>
          <w:numId w:val="3"/>
        </w:numPr>
      </w:pPr>
      <w:r>
        <w:rPr>
          <w:rFonts w:hint="eastAsia"/>
        </w:rPr>
        <w:t>数据库控制组件与中间件部署在同一台主机上。</w:t>
      </w:r>
    </w:p>
    <w:p w14:paraId="00C9F8EC">
      <w:pPr>
        <w:numPr>
          <w:ilvl w:val="0"/>
          <w:numId w:val="3"/>
        </w:numPr>
      </w:pPr>
      <w:r>
        <w:t xml:space="preserve">MinIO </w:t>
      </w:r>
      <w:r>
        <w:rPr>
          <w:rFonts w:hint="eastAsia"/>
        </w:rPr>
        <w:t>作为静态存储与对象存储统一入口，与中间件同机部署。</w:t>
      </w:r>
    </w:p>
    <w:p w14:paraId="0D8FDC9C">
      <w:pPr>
        <w:numPr>
          <w:ilvl w:val="0"/>
          <w:numId w:val="3"/>
        </w:numPr>
      </w:pPr>
      <w:r>
        <w:rPr>
          <w:rFonts w:hint="eastAsia"/>
        </w:rPr>
        <w:t>一期口径下，原“数据与中间件节点”和“文件存储节点”合并为</w:t>
      </w:r>
      <w:r>
        <w:t xml:space="preserve"> 1 </w:t>
      </w:r>
      <w:r>
        <w:rPr>
          <w:rFonts w:hint="eastAsia"/>
        </w:rPr>
        <w:t>台综合节点。</w:t>
      </w:r>
    </w:p>
    <w:p w14:paraId="67FD3976">
      <w:pPr>
        <w:numPr>
          <w:ilvl w:val="0"/>
          <w:numId w:val="3"/>
        </w:numPr>
      </w:pPr>
      <w:r>
        <w:rPr>
          <w:rFonts w:hint="eastAsia"/>
        </w:rPr>
        <w:t>银行文件交换采用独立</w:t>
      </w:r>
      <w:r>
        <w:t xml:space="preserve"> SFTP/FTP </w:t>
      </w:r>
      <w:r>
        <w:rPr>
          <w:rFonts w:hint="eastAsia"/>
        </w:rPr>
        <w:t>文件交换服务器，作为银行送盘、回盘、对账文件交换专用前置机。</w:t>
      </w:r>
    </w:p>
    <w:p w14:paraId="5C4B8C72">
      <w:pPr>
        <w:numPr>
          <w:ilvl w:val="0"/>
          <w:numId w:val="3"/>
        </w:numPr>
      </w:pPr>
      <w:r>
        <w:rPr>
          <w:rFonts w:hint="eastAsia"/>
        </w:rPr>
        <w:t>当前已知可用于本方案的业务与基础设施主机资源如下：</w:t>
      </w:r>
    </w:p>
    <w:p w14:paraId="23B8F496">
      <w:pPr>
        <w:numPr>
          <w:ilvl w:val="0"/>
          <w:numId w:val="4"/>
        </w:numPr>
      </w:pPr>
      <w:r>
        <w:rPr>
          <w:rFonts w:hint="eastAsia"/>
        </w:rPr>
        <w:t>内网</w:t>
      </w:r>
      <w:r>
        <w:t xml:space="preserve"> Nginx </w:t>
      </w:r>
      <w:r>
        <w:rPr>
          <w:rFonts w:hint="eastAsia"/>
        </w:rPr>
        <w:t>入口节点：8</w:t>
      </w:r>
      <w:r>
        <w:t xml:space="preserve"> </w:t>
      </w:r>
      <w:r>
        <w:rPr>
          <w:rFonts w:hint="eastAsia"/>
        </w:rPr>
        <w:t>核</w:t>
      </w:r>
      <w:r>
        <w:t xml:space="preserve"> CPU / 16 GB </w:t>
      </w:r>
      <w:r>
        <w:rPr>
          <w:rFonts w:hint="eastAsia"/>
        </w:rPr>
        <w:t>内存</w:t>
      </w:r>
      <w:r>
        <w:t xml:space="preserve"> / 300 GB </w:t>
      </w:r>
      <w:r>
        <w:rPr>
          <w:rFonts w:hint="eastAsia"/>
        </w:rPr>
        <w:t>存储，共</w:t>
      </w:r>
      <w:r>
        <w:t xml:space="preserve"> 1 </w:t>
      </w:r>
      <w:r>
        <w:rPr>
          <w:rFonts w:hint="eastAsia"/>
        </w:rPr>
        <w:t>台</w:t>
      </w:r>
    </w:p>
    <w:p w14:paraId="5C9822E5">
      <w:pPr>
        <w:numPr>
          <w:ilvl w:val="0"/>
          <w:numId w:val="4"/>
        </w:numPr>
      </w:pPr>
      <w:r>
        <w:rPr>
          <w:rFonts w:hint="eastAsia"/>
        </w:rPr>
        <w:t>业务应用节点（主）：32</w:t>
      </w:r>
      <w:r>
        <w:t xml:space="preserve"> </w:t>
      </w:r>
      <w:r>
        <w:rPr>
          <w:rFonts w:hint="eastAsia"/>
        </w:rPr>
        <w:t>核</w:t>
      </w:r>
      <w:r>
        <w:t xml:space="preserve"> CPU / 64 GB </w:t>
      </w:r>
      <w:r>
        <w:rPr>
          <w:rFonts w:hint="eastAsia"/>
        </w:rPr>
        <w:t>内存</w:t>
      </w:r>
      <w:r>
        <w:t xml:space="preserve"> / 300 GB </w:t>
      </w:r>
      <w:r>
        <w:rPr>
          <w:rFonts w:hint="eastAsia"/>
        </w:rPr>
        <w:t>存储，共</w:t>
      </w:r>
      <w:r>
        <w:t xml:space="preserve"> 2 </w:t>
      </w:r>
      <w:r>
        <w:rPr>
          <w:rFonts w:hint="eastAsia"/>
        </w:rPr>
        <w:t>台</w:t>
      </w:r>
    </w:p>
    <w:p w14:paraId="7791F311">
      <w:pPr>
        <w:numPr>
          <w:ilvl w:val="0"/>
          <w:numId w:val="4"/>
        </w:numPr>
      </w:pPr>
      <w:r>
        <w:rPr>
          <w:rFonts w:hint="eastAsia"/>
        </w:rPr>
        <w:t>数据、中间件与文件存储综合节点：16</w:t>
      </w:r>
      <w:r>
        <w:t xml:space="preserve"> </w:t>
      </w:r>
      <w:r>
        <w:rPr>
          <w:rFonts w:hint="eastAsia"/>
        </w:rPr>
        <w:t>核</w:t>
      </w:r>
      <w:r>
        <w:t xml:space="preserve"> CPU / 32 GB </w:t>
      </w:r>
      <w:r>
        <w:rPr>
          <w:rFonts w:hint="eastAsia"/>
        </w:rPr>
        <w:t>内存</w:t>
      </w:r>
      <w:r>
        <w:t xml:space="preserve"> / 2300 GB </w:t>
      </w:r>
      <w:r>
        <w:rPr>
          <w:rFonts w:hint="eastAsia"/>
        </w:rPr>
        <w:t>存储，共</w:t>
      </w:r>
      <w:r>
        <w:t xml:space="preserve"> 1 </w:t>
      </w:r>
      <w:r>
        <w:rPr>
          <w:rFonts w:hint="eastAsia"/>
        </w:rPr>
        <w:t>台</w:t>
      </w:r>
    </w:p>
    <w:p w14:paraId="39A5E85F">
      <w:pPr>
        <w:numPr>
          <w:ilvl w:val="0"/>
          <w:numId w:val="4"/>
        </w:numPr>
      </w:pPr>
      <w:r>
        <w:rPr>
          <w:rFonts w:hint="eastAsia"/>
        </w:rPr>
        <w:t>银行文件交换服务器：2</w:t>
      </w:r>
      <w:r>
        <w:t xml:space="preserve"> </w:t>
      </w:r>
      <w:r>
        <w:rPr>
          <w:rFonts w:hint="eastAsia"/>
        </w:rPr>
        <w:t>核</w:t>
      </w:r>
      <w:r>
        <w:t xml:space="preserve"> CPU / 8 GB </w:t>
      </w:r>
      <w:r>
        <w:rPr>
          <w:rFonts w:hint="eastAsia"/>
        </w:rPr>
        <w:t>内存</w:t>
      </w:r>
      <w:r>
        <w:t xml:space="preserve"> / 200 GB </w:t>
      </w:r>
      <w:r>
        <w:rPr>
          <w:rFonts w:hint="eastAsia"/>
        </w:rPr>
        <w:t>存储，共</w:t>
      </w:r>
      <w:r>
        <w:t xml:space="preserve"> 1 </w:t>
      </w:r>
      <w:r>
        <w:rPr>
          <w:rFonts w:hint="eastAsia"/>
        </w:rPr>
        <w:t>台</w:t>
      </w:r>
    </w:p>
    <w:p w14:paraId="30737CAE">
      <w:pPr>
        <w:numPr>
          <w:ilvl w:val="0"/>
          <w:numId w:val="4"/>
        </w:numPr>
      </w:pPr>
      <w:r>
        <w:rPr>
          <w:rFonts w:hint="eastAsia"/>
        </w:rPr>
        <w:t>另行配置</w:t>
      </w:r>
      <w:r>
        <w:t xml:space="preserve"> PostgreSQL </w:t>
      </w:r>
      <w:r>
        <w:rPr>
          <w:rFonts w:hint="eastAsia"/>
        </w:rPr>
        <w:t>主库与热备库各</w:t>
      </w:r>
      <w:r>
        <w:t xml:space="preserve"> 1 </w:t>
      </w:r>
      <w:r>
        <w:rPr>
          <w:rFonts w:hint="eastAsia"/>
        </w:rPr>
        <w:t>台</w:t>
      </w:r>
    </w:p>
    <w:bookmarkEnd w:id="4"/>
    <w:p w14:paraId="0778AFF0">
      <w:pPr>
        <w:pStyle w:val="3"/>
      </w:pPr>
      <w:bookmarkStart w:id="5" w:name="整体部署原则"/>
      <w:r>
        <w:rPr>
          <w:rFonts w:hint="eastAsia"/>
        </w:rPr>
        <w:t>整体部署原则</w:t>
      </w:r>
    </w:p>
    <w:p w14:paraId="3E5F2599">
      <w:r>
        <w:rPr>
          <w:rFonts w:hint="eastAsia"/>
        </w:rPr>
        <w:t>整体部署遵循以下原则：</w:t>
      </w:r>
    </w:p>
    <w:p w14:paraId="53CFBD63">
      <w:pPr>
        <w:numPr>
          <w:ilvl w:val="0"/>
          <w:numId w:val="5"/>
        </w:numPr>
      </w:pPr>
      <w:r>
        <w:rPr>
          <w:rFonts w:hint="eastAsia"/>
        </w:rPr>
        <w:t>前后端逻辑分层部署，避免数据库节点与业务节点混部。</w:t>
      </w:r>
    </w:p>
    <w:p w14:paraId="7EA39615">
      <w:pPr>
        <w:numPr>
          <w:ilvl w:val="0"/>
          <w:numId w:val="5"/>
        </w:numPr>
      </w:pPr>
      <w:r>
        <w:rPr>
          <w:rFonts w:hint="eastAsia"/>
        </w:rPr>
        <w:t>中间件集中部署，降低主机数量和运维复杂度。</w:t>
      </w:r>
    </w:p>
    <w:p w14:paraId="5EE3CF54">
      <w:pPr>
        <w:numPr>
          <w:ilvl w:val="0"/>
          <w:numId w:val="5"/>
        </w:numPr>
      </w:pPr>
      <w:r>
        <w:rPr>
          <w:rFonts w:hint="eastAsia"/>
        </w:rPr>
        <w:t>数据库主备分离部署，避免与中间件、应用节点混部。</w:t>
      </w:r>
    </w:p>
    <w:p w14:paraId="510A47F1">
      <w:pPr>
        <w:numPr>
          <w:ilvl w:val="0"/>
          <w:numId w:val="5"/>
        </w:numPr>
      </w:pPr>
      <w:r>
        <w:rPr>
          <w:rFonts w:hint="eastAsia"/>
        </w:rPr>
        <w:t>数据库控制组件集中部署，通过统一代理地址屏蔽主备切换细节。</w:t>
      </w:r>
    </w:p>
    <w:p w14:paraId="5D224295">
      <w:pPr>
        <w:numPr>
          <w:ilvl w:val="0"/>
          <w:numId w:val="5"/>
        </w:numPr>
      </w:pPr>
      <w:r>
        <w:rPr>
          <w:rFonts w:hint="eastAsia"/>
        </w:rPr>
        <w:t>网络按公网接入区、内网接入区、应用区、中间件与文件存储区、银行文件交换区、数据区分层隔离。</w:t>
      </w:r>
    </w:p>
    <w:p w14:paraId="10EB6923">
      <w:pPr>
        <w:numPr>
          <w:ilvl w:val="0"/>
          <w:numId w:val="5"/>
        </w:numPr>
      </w:pPr>
      <w:r>
        <w:rPr>
          <w:rFonts w:hint="eastAsia"/>
        </w:rPr>
        <w:t>在现有主机数量约束下，优先复用现有业务应用节点、内网入口节点及综合节点资源。</w:t>
      </w:r>
    </w:p>
    <w:bookmarkEnd w:id="5"/>
    <w:p w14:paraId="4151DC31">
      <w:pPr>
        <w:pStyle w:val="3"/>
      </w:pPr>
      <w:bookmarkStart w:id="6" w:name="软件拓扑图"/>
      <w:r>
        <w:rPr>
          <w:rFonts w:hint="eastAsia"/>
        </w:rPr>
        <w:t>软件拓扑图</w:t>
      </w:r>
    </w:p>
    <w:p w14:paraId="258CD58E">
      <w:r>
        <w:rPr>
          <w:rFonts w:hint="eastAsia"/>
          <w:b/>
          <w:bCs/>
        </w:rPr>
        <w:t>图</w:t>
      </w:r>
      <w:r>
        <w:rPr>
          <w:b/>
          <w:bCs/>
        </w:rPr>
        <w:t xml:space="preserve"> 4-1 </w:t>
      </w:r>
      <w:r>
        <w:rPr>
          <w:rFonts w:hint="eastAsia"/>
          <w:b/>
          <w:bCs/>
        </w:rPr>
        <w:t>访问与应用软件拓扑图</w:t>
      </w:r>
    </w:p>
    <w:p w14:paraId="0D8FBA5D">
      <w:r>
        <w:drawing>
          <wp:inline distT="0" distB="0" distL="114300" distR="114300">
            <wp:extent cx="5930900" cy="1282700"/>
            <wp:effectExtent l="0" t="0" r="0" b="0"/>
            <wp:docPr id="26" name="Picture" descr="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图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282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A2248A">
      <w:r>
        <w:rPr>
          <w:rFonts w:hint="eastAsia"/>
        </w:rPr>
        <w:t>图1</w:t>
      </w:r>
    </w:p>
    <w:p w14:paraId="69857283">
      <w:pPr>
        <w:pStyle w:val="13"/>
      </w:pPr>
      <w:r>
        <w:rPr>
          <w:rFonts w:hint="eastAsia"/>
        </w:rPr>
        <w:t>图说明：</w:t>
      </w:r>
    </w:p>
    <w:p w14:paraId="4ADD6EC6">
      <w:pPr>
        <w:numPr>
          <w:ilvl w:val="0"/>
          <w:numId w:val="6"/>
        </w:numPr>
      </w:pPr>
      <w:r>
        <w:t xml:space="preserve">PC </w:t>
      </w:r>
      <w:r>
        <w:rPr>
          <w:rFonts w:hint="eastAsia"/>
        </w:rPr>
        <w:t>端用户通过内网直接访问内网</w:t>
      </w:r>
      <w:r>
        <w:t xml:space="preserve"> Nginx。</w:t>
      </w:r>
    </w:p>
    <w:p w14:paraId="703E31B4">
      <w:pPr>
        <w:numPr>
          <w:ilvl w:val="0"/>
          <w:numId w:val="6"/>
        </w:numPr>
      </w:pPr>
      <w:r>
        <w:rPr>
          <w:rFonts w:hint="eastAsia"/>
        </w:rPr>
        <w:t>移动端用户和第三方系统先经公网入口薄转发，再由公网入口转发到内网</w:t>
      </w:r>
      <w:r>
        <w:t xml:space="preserve"> Nginx。</w:t>
      </w:r>
    </w:p>
    <w:p w14:paraId="7B927D30">
      <w:pPr>
        <w:numPr>
          <w:ilvl w:val="0"/>
          <w:numId w:val="6"/>
        </w:numPr>
      </w:pPr>
      <w:r>
        <w:rPr>
          <w:rFonts w:hint="eastAsia"/>
        </w:rPr>
        <w:t>内网</w:t>
      </w:r>
      <w:r>
        <w:t xml:space="preserve"> Nginx </w:t>
      </w:r>
      <w:r>
        <w:rPr>
          <w:rFonts w:hint="eastAsia"/>
        </w:rPr>
        <w:t>将开放</w:t>
      </w:r>
      <w:r>
        <w:t xml:space="preserve"> API </w:t>
      </w:r>
      <w:r>
        <w:rPr>
          <w:rFonts w:hint="eastAsia"/>
        </w:rPr>
        <w:t>端点负载到两台业务应用节点。</w:t>
      </w:r>
    </w:p>
    <w:p w14:paraId="34F9A7B2">
      <w:pPr>
        <w:numPr>
          <w:ilvl w:val="0"/>
          <w:numId w:val="6"/>
        </w:numPr>
      </w:pPr>
      <w:r>
        <w:rPr>
          <w:rFonts w:hint="eastAsia"/>
        </w:rPr>
        <w:t>两台业务应用节点内均部署</w:t>
      </w:r>
      <w:r>
        <w:t xml:space="preserve"> Spring Boot </w:t>
      </w:r>
      <w:r>
        <w:rPr>
          <w:rFonts w:hint="eastAsia"/>
        </w:rPr>
        <w:t>Gateway，作为微服务集群统一接入入口。</w:t>
      </w:r>
    </w:p>
    <w:p w14:paraId="72AEC08B">
      <w:pPr>
        <w:numPr>
          <w:ilvl w:val="0"/>
          <w:numId w:val="6"/>
        </w:numPr>
      </w:pPr>
      <w:r>
        <w:rPr>
          <w:rFonts w:hint="eastAsia"/>
        </w:rPr>
        <w:t>每台业务应用节点内的</w:t>
      </w:r>
      <w:r>
        <w:t xml:space="preserve"> Gateway </w:t>
      </w:r>
      <w:r>
        <w:rPr>
          <w:rFonts w:hint="eastAsia"/>
        </w:rPr>
        <w:t>再向本节点业务服务转发请求。</w:t>
      </w:r>
    </w:p>
    <w:p w14:paraId="203FB7F4">
      <w:r>
        <w:rPr>
          <w:rFonts w:hint="eastAsia"/>
          <w:b/>
          <w:bCs/>
        </w:rPr>
        <w:t>图</w:t>
      </w:r>
      <w:r>
        <w:rPr>
          <w:b/>
          <w:bCs/>
        </w:rPr>
        <w:t xml:space="preserve"> 4-2 </w:t>
      </w:r>
      <w:r>
        <w:rPr>
          <w:rFonts w:hint="eastAsia"/>
          <w:b/>
          <w:bCs/>
        </w:rPr>
        <w:t>综合服务软件拓扑图</w:t>
      </w:r>
    </w:p>
    <w:p w14:paraId="4EE1FBA9">
      <w:r>
        <w:drawing>
          <wp:inline distT="0" distB="0" distL="114300" distR="114300">
            <wp:extent cx="5930900" cy="2451735"/>
            <wp:effectExtent l="0" t="0" r="0" b="0"/>
            <wp:docPr id="29" name="Picture" descr="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图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451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EFC49D">
      <w:r>
        <w:rPr>
          <w:rFonts w:hint="eastAsia"/>
        </w:rPr>
        <w:t>图2</w:t>
      </w:r>
    </w:p>
    <w:p w14:paraId="7997B86E">
      <w:pPr>
        <w:pStyle w:val="13"/>
      </w:pPr>
      <w:r>
        <w:rPr>
          <w:rFonts w:hint="eastAsia"/>
        </w:rPr>
        <w:t>图说明：</w:t>
      </w:r>
    </w:p>
    <w:p w14:paraId="3B907158">
      <w:pPr>
        <w:numPr>
          <w:ilvl w:val="0"/>
          <w:numId w:val="7"/>
        </w:numPr>
      </w:pPr>
      <w:r>
        <w:rPr>
          <w:rFonts w:hint="eastAsia"/>
        </w:rPr>
        <w:t>综合节点承接缓存、配置、对象存储及数据库控制组件。</w:t>
      </w:r>
    </w:p>
    <w:p w14:paraId="59B050F9">
      <w:pPr>
        <w:numPr>
          <w:ilvl w:val="0"/>
          <w:numId w:val="7"/>
        </w:numPr>
      </w:pPr>
      <w:r>
        <w:rPr>
          <w:rFonts w:hint="eastAsia"/>
        </w:rPr>
        <w:t>两台业务应用节点统一访问综合节点，不直接连接数据库。</w:t>
      </w:r>
    </w:p>
    <w:p w14:paraId="59AF1DF0">
      <w:r>
        <w:rPr>
          <w:rFonts w:hint="eastAsia"/>
          <w:b/>
          <w:bCs/>
        </w:rPr>
        <w:t>图</w:t>
      </w:r>
      <w:r>
        <w:rPr>
          <w:b/>
          <w:bCs/>
        </w:rPr>
        <w:t xml:space="preserve"> 4-3 </w:t>
      </w:r>
      <w:r>
        <w:rPr>
          <w:rFonts w:hint="eastAsia"/>
          <w:b/>
          <w:bCs/>
        </w:rPr>
        <w:t>数据与备份软件拓扑图</w:t>
      </w:r>
    </w:p>
    <w:p w14:paraId="33EE2090">
      <w:r>
        <w:drawing>
          <wp:inline distT="0" distB="0" distL="114300" distR="114300">
            <wp:extent cx="5930900" cy="1978025"/>
            <wp:effectExtent l="0" t="0" r="0" b="0"/>
            <wp:docPr id="32" name="Picture" descr="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图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97860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D5B23C">
      <w:r>
        <w:rPr>
          <w:rFonts w:hint="eastAsia"/>
        </w:rPr>
        <w:t>图3</w:t>
      </w:r>
    </w:p>
    <w:p w14:paraId="13ABFE1D">
      <w:pPr>
        <w:pStyle w:val="13"/>
      </w:pPr>
      <w:r>
        <w:rPr>
          <w:rFonts w:hint="eastAsia"/>
        </w:rPr>
        <w:t>图说明：</w:t>
      </w:r>
    </w:p>
    <w:p w14:paraId="688857FE">
      <w:pPr>
        <w:numPr>
          <w:ilvl w:val="0"/>
          <w:numId w:val="8"/>
        </w:numPr>
      </w:pPr>
      <w:r>
        <w:rPr>
          <w:rFonts w:hint="eastAsia"/>
        </w:rPr>
        <w:t>数据库控制组件经由主库提供数据库访问能力。</w:t>
      </w:r>
    </w:p>
    <w:p w14:paraId="3EE57362">
      <w:pPr>
        <w:numPr>
          <w:ilvl w:val="0"/>
          <w:numId w:val="8"/>
        </w:numPr>
      </w:pPr>
      <w:r>
        <w:rPr>
          <w:rFonts w:hint="eastAsia"/>
        </w:rPr>
        <w:t>主库与热备之间通过同步复制保持一致性。</w:t>
      </w:r>
    </w:p>
    <w:p w14:paraId="2B78104F">
      <w:pPr>
        <w:numPr>
          <w:ilvl w:val="0"/>
          <w:numId w:val="8"/>
        </w:numPr>
      </w:pPr>
      <w:r>
        <w:rPr>
          <w:rFonts w:hint="eastAsia"/>
        </w:rPr>
        <w:t>银行文件交换服务器承接送盘、回盘、对账文件交换能力。</w:t>
      </w:r>
    </w:p>
    <w:p w14:paraId="2E44748F">
      <w:pPr>
        <w:numPr>
          <w:ilvl w:val="0"/>
          <w:numId w:val="8"/>
        </w:numPr>
      </w:pPr>
      <w:r>
        <w:t xml:space="preserve">MinIO </w:t>
      </w:r>
      <w:r>
        <w:rPr>
          <w:rFonts w:hint="eastAsia"/>
        </w:rPr>
        <w:t>与银行文件交换服务器分别将各自数据归档到备份归档存储。</w:t>
      </w:r>
    </w:p>
    <w:bookmarkEnd w:id="6"/>
    <w:p w14:paraId="22FAC96B">
      <w:pPr>
        <w:pStyle w:val="3"/>
      </w:pPr>
      <w:bookmarkStart w:id="7" w:name="主机部署图"/>
      <w:r>
        <w:rPr>
          <w:rFonts w:hint="eastAsia"/>
        </w:rPr>
        <w:t>主机部署图</w:t>
      </w:r>
    </w:p>
    <w:p w14:paraId="2CF42F9E">
      <w:r>
        <w:rPr>
          <w:rFonts w:hint="eastAsia"/>
          <w:b/>
          <w:bCs/>
        </w:rPr>
        <w:t>图</w:t>
      </w:r>
      <w:r>
        <w:rPr>
          <w:b/>
          <w:bCs/>
        </w:rPr>
        <w:t xml:space="preserve"> 4-4 </w:t>
      </w:r>
      <w:r>
        <w:rPr>
          <w:rFonts w:hint="eastAsia"/>
          <w:b/>
          <w:bCs/>
        </w:rPr>
        <w:t>主机部署总览图</w:t>
      </w:r>
    </w:p>
    <w:p w14:paraId="0576FC75">
      <w:r>
        <w:drawing>
          <wp:inline distT="0" distB="0" distL="114300" distR="114300">
            <wp:extent cx="5930900" cy="1220470"/>
            <wp:effectExtent l="0" t="0" r="0" b="0"/>
            <wp:docPr id="36" name="Picture" descr="图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图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22075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194209">
      <w:r>
        <w:rPr>
          <w:rFonts w:hint="eastAsia"/>
        </w:rPr>
        <w:t>图4</w:t>
      </w:r>
    </w:p>
    <w:p w14:paraId="77C78807">
      <w:pPr>
        <w:pStyle w:val="13"/>
      </w:pPr>
      <w:r>
        <w:rPr>
          <w:rFonts w:hint="eastAsia"/>
        </w:rPr>
        <w:t>图说明：</w:t>
      </w:r>
    </w:p>
    <w:p w14:paraId="3F2F6E2D">
      <w:pPr>
        <w:numPr>
          <w:ilvl w:val="0"/>
          <w:numId w:val="9"/>
        </w:numPr>
      </w:pPr>
      <w:r>
        <w:rPr>
          <w:rFonts w:hint="eastAsia"/>
        </w:rPr>
        <w:t>内网</w:t>
      </w:r>
      <w:r>
        <w:t xml:space="preserve"> Nginx </w:t>
      </w:r>
      <w:r>
        <w:rPr>
          <w:rFonts w:hint="eastAsia"/>
        </w:rPr>
        <w:t>入口节点作为我方统一接入入口，承接</w:t>
      </w:r>
      <w:r>
        <w:t xml:space="preserve"> API </w:t>
      </w:r>
      <w:r>
        <w:rPr>
          <w:rFonts w:hint="eastAsia"/>
        </w:rPr>
        <w:t>转发与内部负载均衡能力。</w:t>
      </w:r>
    </w:p>
    <w:p w14:paraId="04A8798D">
      <w:pPr>
        <w:numPr>
          <w:ilvl w:val="0"/>
          <w:numId w:val="9"/>
        </w:numPr>
      </w:pPr>
      <w:r>
        <w:rPr>
          <w:rFonts w:hint="eastAsia"/>
        </w:rPr>
        <w:t>业务应用节点</w:t>
      </w:r>
      <w:r>
        <w:t xml:space="preserve"> 1 </w:t>
      </w:r>
      <w:r>
        <w:rPr>
          <w:rFonts w:hint="eastAsia"/>
        </w:rPr>
        <w:t>和业务应用节点</w:t>
      </w:r>
      <w:r>
        <w:t xml:space="preserve"> 2 </w:t>
      </w:r>
      <w:r>
        <w:rPr>
          <w:rFonts w:hint="eastAsia"/>
        </w:rPr>
        <w:t>组成应用主机集群，节点内同时部署</w:t>
      </w:r>
      <w:r>
        <w:t xml:space="preserve"> Spring Boot Gateway </w:t>
      </w:r>
      <w:r>
        <w:rPr>
          <w:rFonts w:hint="eastAsia"/>
        </w:rPr>
        <w:t>与核心业务服务。</w:t>
      </w:r>
    </w:p>
    <w:p w14:paraId="6C112EBA">
      <w:pPr>
        <w:numPr>
          <w:ilvl w:val="0"/>
          <w:numId w:val="9"/>
        </w:numPr>
      </w:pPr>
      <w:r>
        <w:rPr>
          <w:rFonts w:hint="eastAsia"/>
        </w:rPr>
        <w:t>综合节点集中承载</w:t>
      </w:r>
      <w:r>
        <w:t xml:space="preserve"> </w:t>
      </w:r>
      <w:r>
        <w:rPr>
          <w:rFonts w:hint="eastAsia"/>
        </w:rPr>
        <w:t>Redis、Nacos、MinIO、HAProxy、PgBouncer、Patroni，并同时访问数据库主库与热备服务器。</w:t>
      </w:r>
    </w:p>
    <w:p w14:paraId="1FAD31BB">
      <w:pPr>
        <w:numPr>
          <w:ilvl w:val="0"/>
          <w:numId w:val="9"/>
        </w:numPr>
      </w:pPr>
      <w:r>
        <w:rPr>
          <w:rFonts w:hint="eastAsia"/>
        </w:rPr>
        <w:t>独立的</w:t>
      </w:r>
      <w:r>
        <w:t xml:space="preserve"> SFTP/FTP </w:t>
      </w:r>
      <w:r>
        <w:rPr>
          <w:rFonts w:hint="eastAsia"/>
        </w:rPr>
        <w:t>文件交换服务器承接银行送盘、回盘、对账文件交换，并由业务应用节点直接访问。</w:t>
      </w:r>
    </w:p>
    <w:p w14:paraId="134673EE">
      <w:pPr>
        <w:numPr>
          <w:ilvl w:val="0"/>
          <w:numId w:val="9"/>
        </w:numPr>
      </w:pPr>
      <w:r>
        <w:rPr>
          <w:rFonts w:hint="eastAsia"/>
        </w:rPr>
        <w:t>数据库主库服务器与数据库热备服务器独立部署，满足数据库高可用要求。</w:t>
      </w:r>
    </w:p>
    <w:p w14:paraId="2A583E41">
      <w:r>
        <w:rPr>
          <w:rFonts w:hint="eastAsia"/>
        </w:rPr>
        <w:t>主机部署细化说明：</w:t>
      </w:r>
    </w:p>
    <w:p w14:paraId="4B3472FD">
      <w:pPr>
        <w:numPr>
          <w:ilvl w:val="0"/>
          <w:numId w:val="10"/>
        </w:numPr>
      </w:pPr>
      <w:r>
        <w:rPr>
          <w:rFonts w:hint="eastAsia"/>
        </w:rPr>
        <w:t>内网</w:t>
      </w:r>
      <w:r>
        <w:t xml:space="preserve"> Nginx </w:t>
      </w:r>
      <w:r>
        <w:rPr>
          <w:rFonts w:hint="eastAsia"/>
        </w:rPr>
        <w:t>入口节点部署</w:t>
      </w:r>
      <w:r>
        <w:t xml:space="preserve"> Nginx</w:t>
      </w:r>
      <w:r>
        <w:rPr>
          <w:rFonts w:hint="eastAsia"/>
        </w:rPr>
        <w:t>，负责开放</w:t>
      </w:r>
      <w:r>
        <w:t xml:space="preserve"> API </w:t>
      </w:r>
      <w:r>
        <w:rPr>
          <w:rFonts w:hint="eastAsia"/>
        </w:rPr>
        <w:t>转发和内部负载均衡。</w:t>
      </w:r>
    </w:p>
    <w:p w14:paraId="29A537A5">
      <w:pPr>
        <w:numPr>
          <w:ilvl w:val="0"/>
          <w:numId w:val="10"/>
        </w:numPr>
      </w:pPr>
      <w:r>
        <w:rPr>
          <w:rFonts w:hint="eastAsia"/>
        </w:rPr>
        <w:t>两台业务应用节点分别部署</w:t>
      </w:r>
      <w:r>
        <w:t xml:space="preserve"> Spring Boot Gateway </w:t>
      </w:r>
      <w:r>
        <w:rPr>
          <w:rFonts w:hint="eastAsia"/>
        </w:rPr>
        <w:t>与业务服务实例。</w:t>
      </w:r>
    </w:p>
    <w:p w14:paraId="0815D078">
      <w:pPr>
        <w:numPr>
          <w:ilvl w:val="0"/>
          <w:numId w:val="10"/>
        </w:numPr>
      </w:pPr>
      <w:r>
        <w:rPr>
          <w:rFonts w:hint="eastAsia"/>
        </w:rPr>
        <w:t>综合节点部署</w:t>
      </w:r>
      <w:r>
        <w:t xml:space="preserve"> Redis、Nacos、MinIO、HAProxy、PgBouncer、Patroni</w:t>
      </w:r>
      <w:r>
        <w:rPr>
          <w:rFonts w:hint="eastAsia"/>
        </w:rPr>
        <w:t>，并负责访问数据库主库与热备服务器。</w:t>
      </w:r>
    </w:p>
    <w:p w14:paraId="71C7AEEF">
      <w:pPr>
        <w:numPr>
          <w:ilvl w:val="0"/>
          <w:numId w:val="10"/>
        </w:numPr>
      </w:pPr>
      <w:r>
        <w:t xml:space="preserve">SFTP/FTP </w:t>
      </w:r>
      <w:r>
        <w:rPr>
          <w:rFonts w:hint="eastAsia"/>
        </w:rPr>
        <w:t>文件交换服务器部署银行文件交换服务及送盘、回盘、对账目录，由业务应用节点直接访问。</w:t>
      </w:r>
    </w:p>
    <w:p w14:paraId="399AB657">
      <w:pPr>
        <w:numPr>
          <w:ilvl w:val="0"/>
          <w:numId w:val="10"/>
        </w:numPr>
      </w:pPr>
      <w:r>
        <w:rPr>
          <w:rFonts w:hint="eastAsia"/>
        </w:rPr>
        <w:t>数据库主库服务器部署</w:t>
      </w:r>
      <w:r>
        <w:t xml:space="preserve"> PostgreSQL </w:t>
      </w:r>
      <w:r>
        <w:rPr>
          <w:rFonts w:hint="eastAsia"/>
        </w:rPr>
        <w:t>主库实例，数据库热备服务器部署</w:t>
      </w:r>
      <w:r>
        <w:t xml:space="preserve"> PostgreSQL </w:t>
      </w:r>
      <w:r>
        <w:rPr>
          <w:rFonts w:hint="eastAsia"/>
        </w:rPr>
        <w:t>热备实例。</w:t>
      </w:r>
    </w:p>
    <w:bookmarkEnd w:id="7"/>
    <w:p w14:paraId="1BF7CE5A">
      <w:pPr>
        <w:pStyle w:val="3"/>
      </w:pPr>
      <w:bookmarkStart w:id="8" w:name="数据库访问链路图"/>
      <w:r>
        <w:rPr>
          <w:rFonts w:hint="eastAsia"/>
        </w:rPr>
        <w:t>数据库访问链路图</w:t>
      </w:r>
    </w:p>
    <w:p w14:paraId="11A05CBC">
      <w:r>
        <w:rPr>
          <w:rFonts w:hint="eastAsia"/>
          <w:b/>
          <w:bCs/>
        </w:rPr>
        <w:t>图</w:t>
      </w:r>
      <w:r>
        <w:rPr>
          <w:b/>
          <w:bCs/>
        </w:rPr>
        <w:t xml:space="preserve"> 4-5 </w:t>
      </w:r>
      <w:r>
        <w:rPr>
          <w:rFonts w:hint="eastAsia"/>
          <w:b/>
          <w:bCs/>
        </w:rPr>
        <w:t>数据库访问链路图</w:t>
      </w:r>
    </w:p>
    <w:p w14:paraId="22DCC859">
      <w:r>
        <w:drawing>
          <wp:inline distT="0" distB="0" distL="114300" distR="114300">
            <wp:extent cx="5930900" cy="1179830"/>
            <wp:effectExtent l="0" t="0" r="0" b="0"/>
            <wp:docPr id="40" name="Picture" descr="图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图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17991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3EE550">
      <w:r>
        <w:rPr>
          <w:rFonts w:hint="eastAsia"/>
        </w:rPr>
        <w:t>图5</w:t>
      </w:r>
    </w:p>
    <w:p w14:paraId="755660B5">
      <w:pPr>
        <w:pStyle w:val="13"/>
      </w:pPr>
      <w:r>
        <w:rPr>
          <w:rFonts w:hint="eastAsia"/>
        </w:rPr>
        <w:t>图说明：</w:t>
      </w:r>
    </w:p>
    <w:p w14:paraId="301B4F86">
      <w:pPr>
        <w:numPr>
          <w:ilvl w:val="0"/>
          <w:numId w:val="11"/>
        </w:numPr>
      </w:pPr>
      <w:r>
        <w:rPr>
          <w:rFonts w:hint="eastAsia"/>
        </w:rPr>
        <w:t>业务应用不直接连接数据库主机。</w:t>
      </w:r>
    </w:p>
    <w:p w14:paraId="7DA0A8C4">
      <w:pPr>
        <w:numPr>
          <w:ilvl w:val="0"/>
          <w:numId w:val="11"/>
        </w:numPr>
      </w:pPr>
      <w:r>
        <w:t xml:space="preserve">PgBouncer </w:t>
      </w:r>
      <w:r>
        <w:rPr>
          <w:rFonts w:hint="eastAsia"/>
        </w:rPr>
        <w:t>负责连接池。</w:t>
      </w:r>
    </w:p>
    <w:p w14:paraId="5D753E84">
      <w:pPr>
        <w:numPr>
          <w:ilvl w:val="0"/>
          <w:numId w:val="11"/>
        </w:numPr>
      </w:pPr>
      <w:r>
        <w:t xml:space="preserve">HAProxy </w:t>
      </w:r>
      <w:r>
        <w:rPr>
          <w:rFonts w:hint="eastAsia"/>
        </w:rPr>
        <w:t>负责数据库入口代理。</w:t>
      </w:r>
    </w:p>
    <w:p w14:paraId="6A5F25B2">
      <w:pPr>
        <w:numPr>
          <w:ilvl w:val="0"/>
          <w:numId w:val="11"/>
        </w:numPr>
      </w:pPr>
      <w:r>
        <w:t xml:space="preserve">Patroni </w:t>
      </w:r>
      <w:r>
        <w:rPr>
          <w:rFonts w:hint="eastAsia"/>
        </w:rPr>
        <w:t>负责主备状态管理与切换控制。</w:t>
      </w:r>
    </w:p>
    <w:p w14:paraId="6201603B">
      <w:pPr>
        <w:numPr>
          <w:ilvl w:val="0"/>
          <w:numId w:val="11"/>
        </w:numPr>
      </w:pPr>
      <w:r>
        <w:rPr>
          <w:rFonts w:hint="eastAsia"/>
        </w:rPr>
        <w:t>综合节点侧的数据库控制组件会同时访问主库和热备，用于探测、控制和切换。</w:t>
      </w:r>
    </w:p>
    <w:bookmarkEnd w:id="8"/>
    <w:p w14:paraId="7291D6E2">
      <w:pPr>
        <w:pStyle w:val="3"/>
      </w:pPr>
      <w:bookmarkStart w:id="9" w:name="备份恢复链路图"/>
      <w:r>
        <w:rPr>
          <w:rFonts w:hint="eastAsia"/>
        </w:rPr>
        <w:t>备份恢复链路图</w:t>
      </w:r>
    </w:p>
    <w:p w14:paraId="784B7C42">
      <w:r>
        <w:rPr>
          <w:rFonts w:hint="eastAsia"/>
          <w:b/>
          <w:bCs/>
        </w:rPr>
        <w:t>图</w:t>
      </w:r>
      <w:r>
        <w:rPr>
          <w:b/>
          <w:bCs/>
        </w:rPr>
        <w:t xml:space="preserve"> 4-6 </w:t>
      </w:r>
      <w:r>
        <w:rPr>
          <w:rFonts w:hint="eastAsia"/>
          <w:b/>
          <w:bCs/>
        </w:rPr>
        <w:t>备份恢复链路图</w:t>
      </w:r>
    </w:p>
    <w:p w14:paraId="70C10BE2">
      <w:r>
        <w:drawing>
          <wp:inline distT="0" distB="0" distL="114300" distR="114300">
            <wp:extent cx="5930900" cy="3079115"/>
            <wp:effectExtent l="0" t="0" r="0" b="0"/>
            <wp:docPr id="44" name="Picture" descr="图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图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07914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0B90D3">
      <w:r>
        <w:rPr>
          <w:rFonts w:hint="eastAsia"/>
        </w:rPr>
        <w:t>图6</w:t>
      </w:r>
    </w:p>
    <w:p w14:paraId="3668AF20">
      <w:pPr>
        <w:pStyle w:val="13"/>
      </w:pPr>
      <w:r>
        <w:rPr>
          <w:rFonts w:hint="eastAsia"/>
        </w:rPr>
        <w:t>图说明：</w:t>
      </w:r>
    </w:p>
    <w:p w14:paraId="21DC5B56">
      <w:pPr>
        <w:numPr>
          <w:ilvl w:val="0"/>
          <w:numId w:val="12"/>
        </w:numPr>
      </w:pPr>
      <w:r>
        <w:rPr>
          <w:rFonts w:hint="eastAsia"/>
        </w:rPr>
        <w:t>主库和热备均向备份归档存储输出备份数据。</w:t>
      </w:r>
    </w:p>
    <w:p w14:paraId="40FCE336">
      <w:pPr>
        <w:numPr>
          <w:ilvl w:val="0"/>
          <w:numId w:val="12"/>
        </w:numPr>
      </w:pPr>
      <w:r>
        <w:rPr>
          <w:rFonts w:hint="eastAsia"/>
        </w:rPr>
        <w:t>综合节点中的</w:t>
      </w:r>
      <w:r>
        <w:t xml:space="preserve"> MinIO </w:t>
      </w:r>
      <w:r>
        <w:rPr>
          <w:rFonts w:hint="eastAsia"/>
        </w:rPr>
        <w:t>文件数据也纳入备份范围。</w:t>
      </w:r>
    </w:p>
    <w:p w14:paraId="3E880E17">
      <w:pPr>
        <w:numPr>
          <w:ilvl w:val="0"/>
          <w:numId w:val="12"/>
        </w:numPr>
      </w:pPr>
      <w:r>
        <w:rPr>
          <w:rFonts w:hint="eastAsia"/>
        </w:rPr>
        <w:t>备份归档存储作为数据库恢复与文件恢复的统一入口。</w:t>
      </w:r>
    </w:p>
    <w:bookmarkEnd w:id="9"/>
    <w:p w14:paraId="02413288">
      <w:pPr>
        <w:pStyle w:val="3"/>
      </w:pPr>
      <w:bookmarkStart w:id="10" w:name="网络拓扑图"/>
      <w:r>
        <w:rPr>
          <w:rFonts w:hint="eastAsia"/>
        </w:rPr>
        <w:t>网络拓扑图</w:t>
      </w:r>
    </w:p>
    <w:p w14:paraId="70F4ADA7">
      <w:r>
        <w:rPr>
          <w:rFonts w:hint="eastAsia"/>
          <w:b/>
          <w:bCs/>
        </w:rPr>
        <w:t>图</w:t>
      </w:r>
      <w:r>
        <w:rPr>
          <w:b/>
          <w:bCs/>
        </w:rPr>
        <w:t xml:space="preserve"> 4-7 </w:t>
      </w:r>
      <w:r>
        <w:rPr>
          <w:rFonts w:hint="eastAsia"/>
          <w:b/>
          <w:bCs/>
        </w:rPr>
        <w:t>网络拓扑图</w:t>
      </w:r>
    </w:p>
    <w:p w14:paraId="2558EE66">
      <w:r>
        <w:drawing>
          <wp:inline distT="0" distB="0" distL="114300" distR="114300">
            <wp:extent cx="5930900" cy="8761730"/>
            <wp:effectExtent l="0" t="0" r="0" b="0"/>
            <wp:docPr id="48" name="Picture" descr="图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 descr="图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76200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548FDF">
      <w:r>
        <w:rPr>
          <w:rFonts w:hint="eastAsia"/>
        </w:rPr>
        <w:t>图7</w:t>
      </w:r>
    </w:p>
    <w:p w14:paraId="32EE6D13">
      <w:pPr>
        <w:pStyle w:val="13"/>
      </w:pPr>
      <w:r>
        <w:rPr>
          <w:rFonts w:hint="eastAsia"/>
        </w:rPr>
        <w:t>图说明：</w:t>
      </w:r>
    </w:p>
    <w:p w14:paraId="11EBF1A6">
      <w:pPr>
        <w:numPr>
          <w:ilvl w:val="0"/>
          <w:numId w:val="13"/>
        </w:numPr>
      </w:pPr>
      <w:r>
        <w:t xml:space="preserve">PC </w:t>
      </w:r>
      <w:r>
        <w:rPr>
          <w:rFonts w:hint="eastAsia"/>
        </w:rPr>
        <w:t>端用户通过内网直接访问内网</w:t>
      </w:r>
      <w:r>
        <w:t xml:space="preserve"> </w:t>
      </w:r>
      <w:r>
        <w:rPr>
          <w:rFonts w:hint="eastAsia"/>
        </w:rPr>
        <w:t>Nginx，移动端用户和第三方系统通过公网入口薄转发，再转发至内网</w:t>
      </w:r>
      <w:r>
        <w:t xml:space="preserve"> Nginx。</w:t>
      </w:r>
    </w:p>
    <w:p w14:paraId="74D92453">
      <w:pPr>
        <w:numPr>
          <w:ilvl w:val="0"/>
          <w:numId w:val="13"/>
        </w:numPr>
      </w:pPr>
      <w:r>
        <w:rPr>
          <w:rFonts w:hint="eastAsia"/>
        </w:rPr>
        <w:t>内网</w:t>
      </w:r>
      <w:r>
        <w:t xml:space="preserve"> Nginx </w:t>
      </w:r>
      <w:r>
        <w:rPr>
          <w:rFonts w:hint="eastAsia"/>
        </w:rPr>
        <w:t>统一负载到两台业务应用节点，两台节点内部均部署</w:t>
      </w:r>
      <w:r>
        <w:t xml:space="preserve"> Spring Boot Gateway。</w:t>
      </w:r>
    </w:p>
    <w:p w14:paraId="0A3EC147">
      <w:pPr>
        <w:numPr>
          <w:ilvl w:val="0"/>
          <w:numId w:val="13"/>
        </w:numPr>
      </w:pPr>
      <w:r>
        <w:rPr>
          <w:rFonts w:hint="eastAsia"/>
        </w:rPr>
        <w:t>业务应用节点一方面直接访问</w:t>
      </w:r>
      <w:r>
        <w:t xml:space="preserve"> SFTP/FTP </w:t>
      </w:r>
      <w:r>
        <w:rPr>
          <w:rFonts w:hint="eastAsia"/>
        </w:rPr>
        <w:t>文件交换服务器，另一方面访问综合节点获取缓存、配置、文件和数据库代理能力。</w:t>
      </w:r>
    </w:p>
    <w:p w14:paraId="76718D33">
      <w:pPr>
        <w:numPr>
          <w:ilvl w:val="0"/>
          <w:numId w:val="13"/>
        </w:numPr>
      </w:pPr>
      <w:r>
        <w:rPr>
          <w:rFonts w:hint="eastAsia"/>
        </w:rPr>
        <w:t>综合节点访问</w:t>
      </w:r>
      <w:r>
        <w:t xml:space="preserve"> PostgreSQL </w:t>
      </w:r>
      <w:r>
        <w:rPr>
          <w:rFonts w:hint="eastAsia"/>
        </w:rPr>
        <w:t>主库与热备，数据库主备及综合节点均接入备份归档存储。</w:t>
      </w:r>
    </w:p>
    <w:bookmarkEnd w:id="10"/>
    <w:p w14:paraId="13253F01">
      <w:pPr>
        <w:pStyle w:val="3"/>
      </w:pPr>
      <w:bookmarkStart w:id="11" w:name="主机角色与部署内容"/>
      <w:r>
        <w:rPr>
          <w:rFonts w:hint="eastAsia"/>
        </w:rPr>
        <w:t>主机角色与部署内容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794"/>
        <w:gridCol w:w="2393"/>
        <w:gridCol w:w="1794"/>
        <w:gridCol w:w="1794"/>
      </w:tblGrid>
      <w:tr w14:paraId="369A85C2">
        <w:trPr>
          <w:tblHeader/>
        </w:trPr>
        <w:tc>
          <w:p w14:paraId="2C6419A8">
            <w:r>
              <w:rPr>
                <w:rFonts w:hint="eastAsia"/>
              </w:rPr>
              <w:t>层级</w:t>
            </w:r>
          </w:p>
        </w:tc>
        <w:tc>
          <w:p w14:paraId="2EB4E85B">
            <w:r>
              <w:rPr>
                <w:rFonts w:hint="eastAsia"/>
              </w:rPr>
              <w:t>主机角色</w:t>
            </w:r>
          </w:p>
        </w:tc>
        <w:tc>
          <w:p w14:paraId="15A7A7BB">
            <w:pPr>
              <w:jc w:val="right"/>
            </w:pPr>
            <w:r>
              <w:rPr>
                <w:rFonts w:hint="eastAsia"/>
              </w:rPr>
              <w:t>数量</w:t>
            </w:r>
          </w:p>
        </w:tc>
        <w:tc>
          <w:p w14:paraId="27991F4D">
            <w:r>
              <w:rPr>
                <w:rFonts w:hint="eastAsia"/>
              </w:rPr>
              <w:t>主要部署内容</w:t>
            </w:r>
          </w:p>
        </w:tc>
        <w:tc>
          <w:p w14:paraId="08F1ED7A">
            <w:r>
              <w:rPr>
                <w:rFonts w:hint="eastAsia"/>
              </w:rPr>
              <w:t>说明</w:t>
            </w:r>
          </w:p>
        </w:tc>
      </w:tr>
      <w:tr w14:paraId="2B456D50">
        <w:tc>
          <w:p w14:paraId="1B1EEB07">
            <w:r>
              <w:rPr>
                <w:rFonts w:hint="eastAsia"/>
              </w:rPr>
              <w:t>接入层</w:t>
            </w:r>
          </w:p>
        </w:tc>
        <w:tc>
          <w:p w14:paraId="42D0EA38">
            <w:r>
              <w:rPr>
                <w:rFonts w:hint="eastAsia"/>
              </w:rPr>
              <w:t>内网</w:t>
            </w:r>
            <w:r>
              <w:t xml:space="preserve"> Nginx </w:t>
            </w:r>
            <w:r>
              <w:rPr>
                <w:rFonts w:hint="eastAsia"/>
              </w:rPr>
              <w:t>入口节点</w:t>
            </w:r>
          </w:p>
        </w:tc>
        <w:tc>
          <w:p w14:paraId="7C70D57A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5C32334E">
            <w:r>
              <w:t xml:space="preserve">Nginx、API </w:t>
            </w:r>
            <w:r>
              <w:rPr>
                <w:rFonts w:hint="eastAsia"/>
              </w:rPr>
              <w:t>转发、内部负载均衡</w:t>
            </w:r>
          </w:p>
        </w:tc>
        <w:tc>
          <w:p w14:paraId="4E40C198">
            <w:r>
              <w:rPr>
                <w:rFonts w:hint="eastAsia"/>
              </w:rPr>
              <w:t>作为我方统一内网接入入口，承接开放</w:t>
            </w:r>
            <w:r>
              <w:t xml:space="preserve"> API </w:t>
            </w:r>
            <w:r>
              <w:rPr>
                <w:rFonts w:hint="eastAsia"/>
              </w:rPr>
              <w:t>转发</w:t>
            </w:r>
          </w:p>
        </w:tc>
      </w:tr>
      <w:tr w14:paraId="5913F26B">
        <w:tc>
          <w:p w14:paraId="0630EA4C">
            <w:r>
              <w:rPr>
                <w:rFonts w:hint="eastAsia"/>
              </w:rPr>
              <w:t>应用层</w:t>
            </w:r>
          </w:p>
        </w:tc>
        <w:tc>
          <w:p w14:paraId="4274E8EC">
            <w:r>
              <w:rPr>
                <w:rFonts w:hint="eastAsia"/>
              </w:rPr>
              <w:t>业务应用节点（主）</w:t>
            </w:r>
          </w:p>
        </w:tc>
        <w:tc>
          <w:p w14:paraId="3EF11A0E">
            <w:pPr>
              <w:jc w:val="right"/>
            </w:pPr>
            <w:r>
              <w:t xml:space="preserve">2 </w:t>
            </w:r>
            <w:r>
              <w:rPr>
                <w:rFonts w:hint="eastAsia"/>
              </w:rPr>
              <w:t>台</w:t>
            </w:r>
          </w:p>
        </w:tc>
        <w:tc>
          <w:p w14:paraId="35DD34EE">
            <w:r>
              <w:t xml:space="preserve">Spring Boot Gateway、Spring Boot </w:t>
            </w:r>
            <w:r>
              <w:rPr>
                <w:rFonts w:hint="eastAsia"/>
              </w:rPr>
              <w:t>业务服务</w:t>
            </w:r>
          </w:p>
        </w:tc>
        <w:tc>
          <w:p w14:paraId="4565E368">
            <w:r>
              <w:rPr>
                <w:rFonts w:hint="eastAsia"/>
              </w:rPr>
              <w:t>承载微服务集群接入与表务、抄表、收费、账务、发票、报表等核心应用服务</w:t>
            </w:r>
          </w:p>
        </w:tc>
      </w:tr>
      <w:tr w14:paraId="19E9A263">
        <w:tc>
          <w:p w14:paraId="795C6634">
            <w:r>
              <w:rPr>
                <w:rFonts w:hint="eastAsia"/>
              </w:rPr>
              <w:t>综合支撑层</w:t>
            </w:r>
          </w:p>
        </w:tc>
        <w:tc>
          <w:p w14:paraId="451E756B">
            <w:r>
              <w:rPr>
                <w:rFonts w:hint="eastAsia"/>
              </w:rPr>
              <w:t>数据、中间件与文件存储综合节点</w:t>
            </w:r>
          </w:p>
        </w:tc>
        <w:tc>
          <w:p w14:paraId="56A1DB70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3274E479">
            <w:r>
              <w:t>Redis、Nacos、MinIO、HAProxy、PgBouncer、Patroni</w:t>
            </w:r>
          </w:p>
        </w:tc>
        <w:tc>
          <w:p w14:paraId="1756DD3D">
            <w:r>
              <w:rPr>
                <w:rFonts w:hint="eastAsia"/>
              </w:rPr>
              <w:t>中间件、数据库控制与文件存储同机部署</w:t>
            </w:r>
          </w:p>
        </w:tc>
      </w:tr>
      <w:tr w14:paraId="463BEE33">
        <w:tc>
          <w:p w14:paraId="2C39EB8A">
            <w:r>
              <w:rPr>
                <w:rFonts w:hint="eastAsia"/>
              </w:rPr>
              <w:t>银行交换层</w:t>
            </w:r>
          </w:p>
        </w:tc>
        <w:tc>
          <w:p w14:paraId="0087C5D4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23AD3AA1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08C1C976">
            <w:r>
              <w:t xml:space="preserve">SFTP/FTP </w:t>
            </w:r>
            <w:r>
              <w:rPr>
                <w:rFonts w:hint="eastAsia"/>
              </w:rPr>
              <w:t>服务、送盘目录、回盘目录、对账目录、归档目录</w:t>
            </w:r>
          </w:p>
        </w:tc>
        <w:tc>
          <w:p w14:paraId="3F6EAFFB">
            <w:r>
              <w:rPr>
                <w:rFonts w:hint="eastAsia"/>
              </w:rPr>
              <w:t>作为银行文件交换专用前置机</w:t>
            </w:r>
          </w:p>
        </w:tc>
      </w:tr>
      <w:tr w14:paraId="2767DC24">
        <w:tc>
          <w:p w14:paraId="35C75CD5">
            <w:r>
              <w:rPr>
                <w:rFonts w:hint="eastAsia"/>
              </w:rPr>
              <w:t>数据库层</w:t>
            </w:r>
          </w:p>
        </w:tc>
        <w:tc>
          <w:p w14:paraId="45AC1CE5">
            <w:r>
              <w:t xml:space="preserve">PostgreSQL </w:t>
            </w:r>
            <w:r>
              <w:rPr>
                <w:rFonts w:hint="eastAsia"/>
              </w:rPr>
              <w:t>主库服务器</w:t>
            </w:r>
          </w:p>
        </w:tc>
        <w:tc>
          <w:p w14:paraId="2F72F6AD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1F933E5A">
            <w:r>
              <w:t>PostgreSQL 16 Primary</w:t>
            </w:r>
          </w:p>
        </w:tc>
        <w:tc>
          <w:p w14:paraId="62662311">
            <w:r>
              <w:rPr>
                <w:rFonts w:hint="eastAsia"/>
              </w:rPr>
              <w:t>部署在可用区</w:t>
            </w:r>
            <w:r>
              <w:t xml:space="preserve"> A</w:t>
            </w:r>
          </w:p>
        </w:tc>
      </w:tr>
      <w:tr w14:paraId="6943728B">
        <w:tc>
          <w:p w14:paraId="383AE995">
            <w:r>
              <w:rPr>
                <w:rFonts w:hint="eastAsia"/>
              </w:rPr>
              <w:t>数据库层</w:t>
            </w:r>
          </w:p>
        </w:tc>
        <w:tc>
          <w:p w14:paraId="43F9CD11">
            <w:r>
              <w:t xml:space="preserve">PostgreSQL </w:t>
            </w:r>
            <w:r>
              <w:rPr>
                <w:rFonts w:hint="eastAsia"/>
              </w:rPr>
              <w:t>热备服务器</w:t>
            </w:r>
          </w:p>
        </w:tc>
        <w:tc>
          <w:p w14:paraId="00FB3213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4D01611D">
            <w:r>
              <w:t>PostgreSQL 16 Standby</w:t>
            </w:r>
          </w:p>
        </w:tc>
        <w:tc>
          <w:p w14:paraId="1E284C7E">
            <w:r>
              <w:rPr>
                <w:rFonts w:hint="eastAsia"/>
              </w:rPr>
              <w:t>部署在可用区</w:t>
            </w:r>
            <w:r>
              <w:t xml:space="preserve"> B</w:t>
            </w:r>
          </w:p>
        </w:tc>
      </w:tr>
      <w:tr w14:paraId="2BF81CD0">
        <w:tc>
          <w:p w14:paraId="74131E51">
            <w:r>
              <w:rPr>
                <w:rFonts w:hint="eastAsia"/>
              </w:rPr>
              <w:t>备份层</w:t>
            </w:r>
          </w:p>
        </w:tc>
        <w:tc>
          <w:p w14:paraId="79146A40">
            <w:r>
              <w:rPr>
                <w:rFonts w:hint="eastAsia"/>
              </w:rPr>
              <w:t>备份归档存储</w:t>
            </w:r>
          </w:p>
        </w:tc>
        <w:tc>
          <w:p w14:paraId="5FC2280C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套</w:t>
            </w:r>
          </w:p>
        </w:tc>
        <w:tc>
          <w:p w14:paraId="6564A54D">
            <w:r>
              <w:rPr>
                <w:rFonts w:hint="eastAsia"/>
              </w:rPr>
              <w:t>基础备份、WAL</w:t>
            </w:r>
            <w:r>
              <w:t xml:space="preserve"> </w:t>
            </w:r>
            <w:r>
              <w:rPr>
                <w:rFonts w:hint="eastAsia"/>
              </w:rPr>
              <w:t>归档、恢复副本</w:t>
            </w:r>
          </w:p>
        </w:tc>
        <w:tc>
          <w:p w14:paraId="2BF56F79">
            <w:r>
              <w:rPr>
                <w:rFonts w:hint="eastAsia"/>
              </w:rPr>
              <w:t>独立备份空间</w:t>
            </w:r>
          </w:p>
        </w:tc>
      </w:tr>
      <w:bookmarkEnd w:id="11"/>
    </w:tbl>
    <w:p w14:paraId="20B77230">
      <w:pPr>
        <w:pStyle w:val="3"/>
      </w:pPr>
      <w:bookmarkStart w:id="12" w:name="资源配置建议"/>
      <w:r>
        <w:rPr>
          <w:rFonts w:hint="eastAsia"/>
        </w:rPr>
        <w:t>资源配置建议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2945"/>
        <w:gridCol w:w="2208"/>
        <w:gridCol w:w="2208"/>
      </w:tblGrid>
      <w:tr w14:paraId="189CDD6D">
        <w:trPr>
          <w:tblHeader/>
        </w:trPr>
        <w:tc>
          <w:p w14:paraId="6DE3DAAA">
            <w:r>
              <w:rPr>
                <w:rFonts w:hint="eastAsia"/>
              </w:rPr>
              <w:t>主机角色</w:t>
            </w:r>
          </w:p>
        </w:tc>
        <w:tc>
          <w:p w14:paraId="46A48096">
            <w:pPr>
              <w:jc w:val="right"/>
            </w:pPr>
            <w:r>
              <w:rPr>
                <w:rFonts w:hint="eastAsia"/>
              </w:rPr>
              <w:t>数量</w:t>
            </w:r>
          </w:p>
        </w:tc>
        <w:tc>
          <w:p w14:paraId="737BD134">
            <w:r>
              <w:rPr>
                <w:rFonts w:hint="eastAsia"/>
              </w:rPr>
              <w:t>建议配置</w:t>
            </w:r>
          </w:p>
        </w:tc>
        <w:tc>
          <w:p w14:paraId="13F5CF95">
            <w:r>
              <w:rPr>
                <w:rFonts w:hint="eastAsia"/>
              </w:rPr>
              <w:t>备注</w:t>
            </w:r>
          </w:p>
        </w:tc>
      </w:tr>
      <w:tr w14:paraId="69FE75A3">
        <w:tc>
          <w:p w14:paraId="638C3FAF">
            <w:r>
              <w:rPr>
                <w:rFonts w:hint="eastAsia"/>
              </w:rPr>
              <w:t>内网</w:t>
            </w:r>
            <w:r>
              <w:t xml:space="preserve"> Nginx </w:t>
            </w:r>
            <w:r>
              <w:rPr>
                <w:rFonts w:hint="eastAsia"/>
              </w:rPr>
              <w:t>入口节点</w:t>
            </w:r>
          </w:p>
        </w:tc>
        <w:tc>
          <w:p w14:paraId="7F317AD0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78FA9D36">
            <w:r>
              <w:t xml:space="preserve">8 </w:t>
            </w:r>
            <w:r>
              <w:rPr>
                <w:rFonts w:hint="eastAsia"/>
              </w:rPr>
              <w:t>核</w:t>
            </w:r>
            <w:r>
              <w:t xml:space="preserve"> CPU / 16 GB </w:t>
            </w:r>
            <w:r>
              <w:rPr>
                <w:rFonts w:hint="eastAsia"/>
              </w:rPr>
              <w:t>内存</w:t>
            </w:r>
            <w:r>
              <w:t xml:space="preserve"> / 300 GB </w:t>
            </w:r>
            <w:r>
              <w:rPr>
                <w:rFonts w:hint="eastAsia"/>
              </w:rPr>
              <w:t>存储</w:t>
            </w:r>
          </w:p>
        </w:tc>
        <w:tc>
          <w:p w14:paraId="0B668D53">
            <w:r>
              <w:rPr>
                <w:rFonts w:hint="eastAsia"/>
              </w:rPr>
              <w:t>承载内网</w:t>
            </w:r>
            <w:r>
              <w:t xml:space="preserve"> Nginx、API </w:t>
            </w:r>
            <w:r>
              <w:rPr>
                <w:rFonts w:hint="eastAsia"/>
              </w:rPr>
              <w:t>转发和内部负载均衡</w:t>
            </w:r>
          </w:p>
        </w:tc>
      </w:tr>
      <w:tr w14:paraId="146B4A91">
        <w:tc>
          <w:p w14:paraId="02509F10">
            <w:r>
              <w:rPr>
                <w:rFonts w:hint="eastAsia"/>
              </w:rPr>
              <w:t>业务应用节点（主）</w:t>
            </w:r>
          </w:p>
        </w:tc>
        <w:tc>
          <w:p w14:paraId="17F19D37">
            <w:pPr>
              <w:jc w:val="right"/>
            </w:pPr>
            <w:r>
              <w:t xml:space="preserve">2 </w:t>
            </w:r>
            <w:r>
              <w:rPr>
                <w:rFonts w:hint="eastAsia"/>
              </w:rPr>
              <w:t>台</w:t>
            </w:r>
          </w:p>
        </w:tc>
        <w:tc>
          <w:p w14:paraId="738F03F9">
            <w:r>
              <w:t xml:space="preserve">32 </w:t>
            </w:r>
            <w:r>
              <w:rPr>
                <w:rFonts w:hint="eastAsia"/>
              </w:rPr>
              <w:t>核</w:t>
            </w:r>
            <w:r>
              <w:t xml:space="preserve"> CPU / 64 GB </w:t>
            </w:r>
            <w:r>
              <w:rPr>
                <w:rFonts w:hint="eastAsia"/>
              </w:rPr>
              <w:t>内存</w:t>
            </w:r>
            <w:r>
              <w:t xml:space="preserve"> / 300 GB </w:t>
            </w:r>
            <w:r>
              <w:rPr>
                <w:rFonts w:hint="eastAsia"/>
              </w:rPr>
              <w:t>存储</w:t>
            </w:r>
          </w:p>
        </w:tc>
        <w:tc>
          <w:p w14:paraId="317B4043">
            <w:r>
              <w:rPr>
                <w:rFonts w:hint="eastAsia"/>
              </w:rPr>
              <w:t>承载</w:t>
            </w:r>
            <w:r>
              <w:t xml:space="preserve"> Spring Boot Gateway </w:t>
            </w:r>
            <w:r>
              <w:rPr>
                <w:rFonts w:hint="eastAsia"/>
              </w:rPr>
              <w:t>及表务、抄表、收费、账务、发票、报表等核心应用服务</w:t>
            </w:r>
          </w:p>
        </w:tc>
      </w:tr>
      <w:tr w14:paraId="67CAF8B3">
        <w:tc>
          <w:p w14:paraId="2D325CF3">
            <w:r>
              <w:rPr>
                <w:rFonts w:hint="eastAsia"/>
              </w:rPr>
              <w:t>数据、中间件与文件存储综合节点</w:t>
            </w:r>
          </w:p>
        </w:tc>
        <w:tc>
          <w:p w14:paraId="5E7E3B98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722C908B">
            <w:r>
              <w:t xml:space="preserve">16 </w:t>
            </w:r>
            <w:r>
              <w:rPr>
                <w:rFonts w:hint="eastAsia"/>
              </w:rPr>
              <w:t>核</w:t>
            </w:r>
            <w:r>
              <w:t xml:space="preserve"> CPU / 32 GB </w:t>
            </w:r>
            <w:r>
              <w:rPr>
                <w:rFonts w:hint="eastAsia"/>
              </w:rPr>
              <w:t>内存</w:t>
            </w:r>
            <w:r>
              <w:t xml:space="preserve"> / 2300 GB </w:t>
            </w:r>
            <w:r>
              <w:rPr>
                <w:rFonts w:hint="eastAsia"/>
              </w:rPr>
              <w:t>存储</w:t>
            </w:r>
          </w:p>
        </w:tc>
        <w:tc>
          <w:p w14:paraId="372E8CEF">
            <w:r>
              <w:rPr>
                <w:rFonts w:hint="eastAsia"/>
              </w:rPr>
              <w:t>承载缓存、配置治理、数据库控制、图片、附件等非结构化数据</w:t>
            </w:r>
          </w:p>
        </w:tc>
      </w:tr>
      <w:tr w14:paraId="5C647AAC">
        <w:tc>
          <w:p w14:paraId="73FACA2A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2A846EF5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41326303">
            <w:r>
              <w:t xml:space="preserve">2 </w:t>
            </w:r>
            <w:r>
              <w:rPr>
                <w:rFonts w:hint="eastAsia"/>
              </w:rPr>
              <w:t>核</w:t>
            </w:r>
            <w:r>
              <w:t xml:space="preserve"> CPU / 8 GB </w:t>
            </w:r>
            <w:r>
              <w:rPr>
                <w:rFonts w:hint="eastAsia"/>
              </w:rPr>
              <w:t>内存</w:t>
            </w:r>
            <w:r>
              <w:t xml:space="preserve"> / 200 GB </w:t>
            </w:r>
            <w:r>
              <w:rPr>
                <w:rFonts w:hint="eastAsia"/>
              </w:rPr>
              <w:t>存储</w:t>
            </w:r>
          </w:p>
        </w:tc>
        <w:tc>
          <w:p w14:paraId="4FAD6793">
            <w:r>
              <w:rPr>
                <w:rFonts w:hint="eastAsia"/>
              </w:rPr>
              <w:t>承载银行送盘、回盘、对账、归档文件交换，建议独立部署</w:t>
            </w:r>
          </w:p>
        </w:tc>
      </w:tr>
      <w:tr w14:paraId="2C751DA3">
        <w:tc>
          <w:p w14:paraId="47C950A4">
            <w:r>
              <w:t xml:space="preserve">PostgreSQL </w:t>
            </w:r>
            <w:r>
              <w:rPr>
                <w:rFonts w:hint="eastAsia"/>
              </w:rPr>
              <w:t>主库服务器</w:t>
            </w:r>
          </w:p>
        </w:tc>
        <w:tc>
          <w:p w14:paraId="757C9885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54EBD46F">
            <w:r>
              <w:t xml:space="preserve">24 </w:t>
            </w:r>
            <w:r>
              <w:rPr>
                <w:rFonts w:hint="eastAsia"/>
              </w:rPr>
              <w:t>核</w:t>
            </w:r>
            <w:r>
              <w:t xml:space="preserve"> CPU / 48 GB </w:t>
            </w:r>
            <w:r>
              <w:rPr>
                <w:rFonts w:hint="eastAsia"/>
              </w:rPr>
              <w:t>内存</w:t>
            </w:r>
            <w:r>
              <w:t xml:space="preserve"> / 1 TB NVMe SSD</w:t>
            </w:r>
          </w:p>
        </w:tc>
        <w:tc>
          <w:p w14:paraId="4B1A2435">
            <w:r>
              <w:rPr>
                <w:rFonts w:hint="eastAsia"/>
              </w:rPr>
              <w:t>生产写入节点，不计入上述已知</w:t>
            </w:r>
            <w:r>
              <w:t xml:space="preserve"> 4 </w:t>
            </w:r>
            <w:r>
              <w:rPr>
                <w:rFonts w:hint="eastAsia"/>
              </w:rPr>
              <w:t>类业务主机</w:t>
            </w:r>
          </w:p>
        </w:tc>
      </w:tr>
      <w:tr w14:paraId="2BADDD96">
        <w:tc>
          <w:p w14:paraId="2788E201">
            <w:r>
              <w:t xml:space="preserve">PostgreSQL </w:t>
            </w:r>
            <w:r>
              <w:rPr>
                <w:rFonts w:hint="eastAsia"/>
              </w:rPr>
              <w:t>热备服务器</w:t>
            </w:r>
          </w:p>
        </w:tc>
        <w:tc>
          <w:p w14:paraId="2B895619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1058BFCF">
            <w:r>
              <w:t xml:space="preserve">24 </w:t>
            </w:r>
            <w:r>
              <w:rPr>
                <w:rFonts w:hint="eastAsia"/>
              </w:rPr>
              <w:t>核</w:t>
            </w:r>
            <w:r>
              <w:t xml:space="preserve"> CPU / 48 GB </w:t>
            </w:r>
            <w:r>
              <w:rPr>
                <w:rFonts w:hint="eastAsia"/>
              </w:rPr>
              <w:t>内存</w:t>
            </w:r>
            <w:r>
              <w:t xml:space="preserve"> / 1 TB NVMe SSD</w:t>
            </w:r>
          </w:p>
        </w:tc>
        <w:tc>
          <w:p w14:paraId="3F189C0A">
            <w:r>
              <w:rPr>
                <w:rFonts w:hint="eastAsia"/>
              </w:rPr>
              <w:t>正式切换接管节点，不计入上述已知</w:t>
            </w:r>
            <w:r>
              <w:t xml:space="preserve"> 4 </w:t>
            </w:r>
            <w:r>
              <w:rPr>
                <w:rFonts w:hint="eastAsia"/>
              </w:rPr>
              <w:t>类业务主机</w:t>
            </w:r>
          </w:p>
        </w:tc>
      </w:tr>
      <w:tr w14:paraId="3D0C3933">
        <w:tc>
          <w:p w14:paraId="6642F279">
            <w:r>
              <w:rPr>
                <w:rFonts w:hint="eastAsia"/>
              </w:rPr>
              <w:t>备份归档存储</w:t>
            </w:r>
          </w:p>
        </w:tc>
        <w:tc>
          <w:p w14:paraId="2D2EAAEF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套</w:t>
            </w:r>
          </w:p>
        </w:tc>
        <w:tc>
          <w:p w14:paraId="7A47BA89">
            <w:r>
              <w:rPr>
                <w:rFonts w:hint="eastAsia"/>
              </w:rPr>
              <w:t>可用空间</w:t>
            </w:r>
            <w:r>
              <w:t xml:space="preserve"> 4 TB </w:t>
            </w:r>
            <w:r>
              <w:rPr>
                <w:rFonts w:hint="eastAsia"/>
              </w:rPr>
              <w:t>至</w:t>
            </w:r>
            <w:r>
              <w:t xml:space="preserve"> 6 TB</w:t>
            </w:r>
          </w:p>
        </w:tc>
        <w:tc>
          <w:p w14:paraId="76D2F5E4">
            <w:r>
              <w:rPr>
                <w:rFonts w:hint="eastAsia"/>
              </w:rPr>
              <w:t>存放全量备份与</w:t>
            </w:r>
            <w:r>
              <w:t xml:space="preserve"> WAL </w:t>
            </w:r>
            <w:r>
              <w:rPr>
                <w:rFonts w:hint="eastAsia"/>
              </w:rPr>
              <w:t>归档</w:t>
            </w:r>
          </w:p>
        </w:tc>
      </w:tr>
    </w:tbl>
    <w:p w14:paraId="6E070C09">
      <w:pPr>
        <w:pStyle w:val="4"/>
      </w:pPr>
      <w:bookmarkStart w:id="13" w:name="银行文件交换服务器容量估算"/>
      <w:r>
        <w:rPr>
          <w:rFonts w:hint="eastAsia"/>
        </w:rPr>
        <w:t>银行文件交换服务器容量估算</w:t>
      </w:r>
    </w:p>
    <w:p w14:paraId="26BAA80A">
      <w:r>
        <w:rPr>
          <w:rFonts w:hint="eastAsia"/>
        </w:rPr>
        <w:t>按</w:t>
      </w:r>
      <w:r>
        <w:t xml:space="preserve"> 20 </w:t>
      </w:r>
      <w:r>
        <w:rPr>
          <w:rFonts w:hint="eastAsia"/>
        </w:rPr>
        <w:t>万用户、5</w:t>
      </w:r>
      <w:r>
        <w:t xml:space="preserve"> </w:t>
      </w:r>
      <w:r>
        <w:rPr>
          <w:rFonts w:hint="eastAsia"/>
        </w:rPr>
        <w:t>年保留期估算，银行文件交换服务器主要承载代扣、托收、对账等批次文件，不承载全量业务明细数据库。</w:t>
      </w:r>
    </w:p>
    <w:p w14:paraId="4864A773">
      <w:pPr>
        <w:pStyle w:val="13"/>
      </w:pPr>
      <w:r>
        <w:rPr>
          <w:rFonts w:hint="eastAsia"/>
        </w:rPr>
        <w:t>估算依据如下：</w:t>
      </w:r>
    </w:p>
    <w:p w14:paraId="46E0D75A">
      <w:pPr>
        <w:numPr>
          <w:ilvl w:val="0"/>
          <w:numId w:val="14"/>
        </w:numPr>
      </w:pPr>
      <w:r>
        <w:rPr>
          <w:rFonts w:hint="eastAsia"/>
        </w:rPr>
        <w:t>银行代扣、托收、对账文件以批次文件为主，不是每位用户每天形成独立文件。</w:t>
      </w:r>
    </w:p>
    <w:p w14:paraId="7355BDB1">
      <w:pPr>
        <w:numPr>
          <w:ilvl w:val="0"/>
          <w:numId w:val="14"/>
        </w:numPr>
      </w:pPr>
      <w:r>
        <w:rPr>
          <w:rFonts w:hint="eastAsia"/>
        </w:rPr>
        <w:t>按“仅覆盖银行代扣/托收用户，且按月批次送盘/回盘一次”的业务节奏估算，单个批次文件大小通常在</w:t>
      </w:r>
      <w:r>
        <w:t xml:space="preserve"> 10 MB ~ 40 MB </w:t>
      </w:r>
      <w:r>
        <w:rPr>
          <w:rFonts w:hint="eastAsia"/>
        </w:rPr>
        <w:t>量级。</w:t>
      </w:r>
    </w:p>
    <w:p w14:paraId="37D62800">
      <w:pPr>
        <w:numPr>
          <w:ilvl w:val="0"/>
          <w:numId w:val="14"/>
        </w:numPr>
      </w:pPr>
      <w:r>
        <w:rPr>
          <w:rFonts w:hint="eastAsia"/>
        </w:rPr>
        <w:t>按每月送盘、回盘、对账共</w:t>
      </w:r>
      <w:r>
        <w:t xml:space="preserve"> 3 </w:t>
      </w:r>
      <w:r>
        <w:rPr>
          <w:rFonts w:hint="eastAsia"/>
        </w:rPr>
        <w:t>类核心文件估算，月文件量约为：</w:t>
      </w:r>
    </w:p>
    <w:p w14:paraId="6E2ECB7A">
      <w:pPr>
        <w:numPr>
          <w:ilvl w:val="1"/>
          <w:numId w:val="4"/>
        </w:numPr>
      </w:pPr>
      <w:r>
        <w:t xml:space="preserve">30 MB ~ 120 MB / </w:t>
      </w:r>
      <w:r>
        <w:rPr>
          <w:rFonts w:hint="eastAsia"/>
        </w:rPr>
        <w:t>月</w:t>
      </w:r>
    </w:p>
    <w:p w14:paraId="05191504">
      <w:pPr>
        <w:numPr>
          <w:ilvl w:val="0"/>
          <w:numId w:val="14"/>
        </w:numPr>
      </w:pPr>
      <w:r>
        <w:rPr>
          <w:rFonts w:hint="eastAsia"/>
        </w:rPr>
        <w:t>按</w:t>
      </w:r>
      <w:r>
        <w:t xml:space="preserve"> 1 </w:t>
      </w:r>
      <w:r>
        <w:rPr>
          <w:rFonts w:hint="eastAsia"/>
        </w:rPr>
        <w:t>年估算，原始批次文件总量约为：</w:t>
      </w:r>
    </w:p>
    <w:p w14:paraId="24068D02">
      <w:pPr>
        <w:numPr>
          <w:ilvl w:val="1"/>
          <w:numId w:val="4"/>
        </w:numPr>
      </w:pPr>
      <w:r>
        <w:t xml:space="preserve">0.36 GB ~ 1.44 GB / </w:t>
      </w:r>
      <w:r>
        <w:rPr>
          <w:rFonts w:hint="eastAsia"/>
        </w:rPr>
        <w:t>年</w:t>
      </w:r>
    </w:p>
    <w:p w14:paraId="11E0C66E">
      <w:pPr>
        <w:numPr>
          <w:ilvl w:val="0"/>
          <w:numId w:val="14"/>
        </w:numPr>
      </w:pPr>
      <w:r>
        <w:rPr>
          <w:rFonts w:hint="eastAsia"/>
        </w:rPr>
        <w:t>考虑归档副本、异常重传、中间文件和运行日志，按</w:t>
      </w:r>
      <w:r>
        <w:t xml:space="preserve"> 10 ~ 15 </w:t>
      </w:r>
      <w:r>
        <w:rPr>
          <w:rFonts w:hint="eastAsia"/>
        </w:rPr>
        <w:t>倍放大后，5</w:t>
      </w:r>
      <w:r>
        <w:t xml:space="preserve"> </w:t>
      </w:r>
      <w:r>
        <w:rPr>
          <w:rFonts w:hint="eastAsia"/>
        </w:rPr>
        <w:t>年总量通常约为：</w:t>
      </w:r>
    </w:p>
    <w:p w14:paraId="0B4F853D">
      <w:pPr>
        <w:numPr>
          <w:ilvl w:val="1"/>
          <w:numId w:val="4"/>
        </w:numPr>
      </w:pPr>
      <w:r>
        <w:t>20 GB ~ 110 GB</w:t>
      </w:r>
    </w:p>
    <w:p w14:paraId="5255B5FC">
      <w:r>
        <w:rPr>
          <w:rFonts w:hint="eastAsia"/>
        </w:rPr>
        <w:t>因此，按最节约的一期规划，银行文件交换服务器可按</w:t>
      </w:r>
      <w:r>
        <w:t xml:space="preserve"> 2 </w:t>
      </w:r>
      <w:r>
        <w:rPr>
          <w:rFonts w:hint="eastAsia"/>
        </w:rPr>
        <w:t>核</w:t>
      </w:r>
      <w:r>
        <w:t xml:space="preserve"> CPU / 8 GB </w:t>
      </w:r>
      <w:r>
        <w:rPr>
          <w:rFonts w:hint="eastAsia"/>
        </w:rPr>
        <w:t>内存</w:t>
      </w:r>
      <w:r>
        <w:t xml:space="preserve"> / 200 GB </w:t>
      </w:r>
      <w:r>
        <w:rPr>
          <w:rFonts w:hint="eastAsia"/>
        </w:rPr>
        <w:t>存储</w:t>
      </w:r>
      <w:r>
        <w:t xml:space="preserve"> </w:t>
      </w:r>
      <w:r>
        <w:rPr>
          <w:rFonts w:hint="eastAsia"/>
        </w:rPr>
        <w:t>配置满足送盘、回盘、对账文件交换与</w:t>
      </w:r>
      <w:r>
        <w:t xml:space="preserve"> 5 </w:t>
      </w:r>
      <w:r>
        <w:rPr>
          <w:rFonts w:hint="eastAsia"/>
        </w:rPr>
        <w:t>年留存需要；如后续银行通道数量增加、并发文件交换增加或保留策略扩大，再扩容至</w:t>
      </w:r>
      <w:r>
        <w:t xml:space="preserve"> 4 </w:t>
      </w:r>
      <w:r>
        <w:rPr>
          <w:rFonts w:hint="eastAsia"/>
        </w:rPr>
        <w:t>核</w:t>
      </w:r>
      <w:r>
        <w:t xml:space="preserve"> / 8 GB / 500 GB </w:t>
      </w:r>
      <w:r>
        <w:rPr>
          <w:rFonts w:hint="eastAsia"/>
        </w:rPr>
        <w:t>即可。建议设置</w:t>
      </w:r>
      <w:r>
        <w:t xml:space="preserve"> 70% </w:t>
      </w:r>
      <w:r>
        <w:rPr>
          <w:rFonts w:hint="eastAsia"/>
        </w:rPr>
        <w:t>容量预警，并预留扩容机制。</w:t>
      </w:r>
    </w:p>
    <w:bookmarkEnd w:id="12"/>
    <w:bookmarkEnd w:id="13"/>
    <w:p w14:paraId="5B5C8C19">
      <w:pPr>
        <w:pStyle w:val="3"/>
      </w:pPr>
      <w:bookmarkStart w:id="14" w:name="资源审批汇总表"/>
      <w:r>
        <w:rPr>
          <w:rFonts w:hint="eastAsia"/>
        </w:rPr>
        <w:t>资源审批汇总表</w:t>
      </w:r>
    </w:p>
    <w:p w14:paraId="0EB3562C">
      <w:r>
        <w:rPr>
          <w:rFonts w:hint="eastAsia"/>
        </w:rPr>
        <w:t>以下汇总表用于甲方进行主机、存储、网络及基础软件部署范围审批。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664"/>
        <w:gridCol w:w="1664"/>
        <w:gridCol w:w="1248"/>
        <w:gridCol w:w="1248"/>
        <w:gridCol w:w="1248"/>
        <w:gridCol w:w="1248"/>
      </w:tblGrid>
      <w:tr w14:paraId="56C46C95">
        <w:trPr>
          <w:tblHeader/>
        </w:trPr>
        <w:tc>
          <w:p w14:paraId="1ADDA930">
            <w:r>
              <w:rPr>
                <w:rFonts w:hint="eastAsia"/>
              </w:rPr>
              <w:t>序号</w:t>
            </w:r>
          </w:p>
        </w:tc>
        <w:tc>
          <w:p w14:paraId="2673D332">
            <w:pPr>
              <w:jc w:val="right"/>
            </w:pPr>
            <w:r>
              <w:rPr>
                <w:rFonts w:hint="eastAsia"/>
              </w:rPr>
              <w:t>资源名称</w:t>
            </w:r>
          </w:p>
        </w:tc>
        <w:tc>
          <w:p w14:paraId="1DA1BCC5">
            <w:pPr>
              <w:jc w:val="right"/>
            </w:pPr>
            <w:r>
              <w:rPr>
                <w:rFonts w:hint="eastAsia"/>
              </w:rPr>
              <w:t>数量</w:t>
            </w:r>
          </w:p>
        </w:tc>
        <w:tc>
          <w:p w14:paraId="185A51B3">
            <w:r>
              <w:rPr>
                <w:rFonts w:hint="eastAsia"/>
              </w:rPr>
              <w:t>规格</w:t>
            </w:r>
          </w:p>
        </w:tc>
        <w:tc>
          <w:p w14:paraId="7D3F9B8D">
            <w:r>
              <w:rPr>
                <w:rFonts w:hint="eastAsia"/>
              </w:rPr>
              <w:t>部署内容</w:t>
            </w:r>
          </w:p>
        </w:tc>
        <w:tc>
          <w:p w14:paraId="32E4AB06">
            <w:r>
              <w:rPr>
                <w:rFonts w:hint="eastAsia"/>
              </w:rPr>
              <w:t>用途说明</w:t>
            </w:r>
          </w:p>
        </w:tc>
        <w:tc>
          <w:p w14:paraId="4D06E750">
            <w:r>
              <w:rPr>
                <w:rFonts w:hint="eastAsia"/>
              </w:rPr>
              <w:t>建议口径</w:t>
            </w:r>
          </w:p>
        </w:tc>
      </w:tr>
      <w:tr w14:paraId="5B8F15DD">
        <w:tc>
          <w:p w14:paraId="2767E823">
            <w:r>
              <w:t>1</w:t>
            </w:r>
          </w:p>
        </w:tc>
        <w:tc>
          <w:p w14:paraId="4837E8D2">
            <w:pPr>
              <w:jc w:val="right"/>
            </w:pPr>
            <w:r>
              <w:rPr>
                <w:rFonts w:hint="eastAsia"/>
              </w:rPr>
              <w:t>内网</w:t>
            </w:r>
            <w:r>
              <w:t xml:space="preserve"> Nginx </w:t>
            </w:r>
            <w:r>
              <w:rPr>
                <w:rFonts w:hint="eastAsia"/>
              </w:rPr>
              <w:t>入口节点</w:t>
            </w:r>
          </w:p>
        </w:tc>
        <w:tc>
          <w:p w14:paraId="1D8C3E84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52B43C70">
            <w:r>
              <w:t xml:space="preserve">8 </w:t>
            </w:r>
            <w:r>
              <w:rPr>
                <w:rFonts w:hint="eastAsia"/>
              </w:rPr>
              <w:t>核</w:t>
            </w:r>
            <w:r>
              <w:t xml:space="preserve"> CPU / 16 GB </w:t>
            </w:r>
            <w:r>
              <w:rPr>
                <w:rFonts w:hint="eastAsia"/>
              </w:rPr>
              <w:t>内存</w:t>
            </w:r>
            <w:r>
              <w:t xml:space="preserve"> / 300 GB </w:t>
            </w:r>
            <w:r>
              <w:rPr>
                <w:rFonts w:hint="eastAsia"/>
              </w:rPr>
              <w:t>存储</w:t>
            </w:r>
          </w:p>
        </w:tc>
        <w:tc>
          <w:p w14:paraId="6E7D60D2">
            <w:r>
              <w:t xml:space="preserve">Nginx、API </w:t>
            </w:r>
            <w:r>
              <w:rPr>
                <w:rFonts w:hint="eastAsia"/>
              </w:rPr>
              <w:t>转发、内部负载均衡</w:t>
            </w:r>
          </w:p>
        </w:tc>
        <w:tc>
          <w:p w14:paraId="374DDD56">
            <w:r>
              <w:rPr>
                <w:rFonts w:hint="eastAsia"/>
              </w:rPr>
              <w:t>我方统一内网接入入口</w:t>
            </w:r>
          </w:p>
        </w:tc>
        <w:tc>
          <w:p w14:paraId="4889778D">
            <w:r>
              <w:rPr>
                <w:rFonts w:hint="eastAsia"/>
              </w:rPr>
              <w:t>可利旧优先</w:t>
            </w:r>
          </w:p>
        </w:tc>
      </w:tr>
      <w:tr w14:paraId="64D94D7F">
        <w:tc>
          <w:p w14:paraId="721194E1">
            <w:r>
              <w:t>2</w:t>
            </w:r>
          </w:p>
        </w:tc>
        <w:tc>
          <w:p w14:paraId="36796915">
            <w:pPr>
              <w:jc w:val="right"/>
            </w:pPr>
            <w:r>
              <w:rPr>
                <w:rFonts w:hint="eastAsia"/>
              </w:rPr>
              <w:t>业务应用节点（主）</w:t>
            </w:r>
          </w:p>
        </w:tc>
        <w:tc>
          <w:p w14:paraId="5D25BD8D">
            <w:pPr>
              <w:jc w:val="right"/>
            </w:pPr>
            <w:r>
              <w:t xml:space="preserve">2 </w:t>
            </w:r>
            <w:r>
              <w:rPr>
                <w:rFonts w:hint="eastAsia"/>
              </w:rPr>
              <w:t>台</w:t>
            </w:r>
          </w:p>
        </w:tc>
        <w:tc>
          <w:p w14:paraId="5B65428D">
            <w:r>
              <w:t xml:space="preserve">32 </w:t>
            </w:r>
            <w:r>
              <w:rPr>
                <w:rFonts w:hint="eastAsia"/>
              </w:rPr>
              <w:t>核</w:t>
            </w:r>
            <w:r>
              <w:t xml:space="preserve"> CPU / 64 GB </w:t>
            </w:r>
            <w:r>
              <w:rPr>
                <w:rFonts w:hint="eastAsia"/>
              </w:rPr>
              <w:t>内存</w:t>
            </w:r>
            <w:r>
              <w:t xml:space="preserve"> / 300 GB </w:t>
            </w:r>
            <w:r>
              <w:rPr>
                <w:rFonts w:hint="eastAsia"/>
              </w:rPr>
              <w:t>存储</w:t>
            </w:r>
          </w:p>
        </w:tc>
        <w:tc>
          <w:p w14:paraId="6422C9A4">
            <w:r>
              <w:t xml:space="preserve">Spring Boot Gateway、Spring Boot </w:t>
            </w:r>
            <w:r>
              <w:rPr>
                <w:rFonts w:hint="eastAsia"/>
              </w:rPr>
              <w:t>核心业务服务</w:t>
            </w:r>
          </w:p>
        </w:tc>
        <w:tc>
          <w:p w14:paraId="5706A4C3">
            <w:r>
              <w:rPr>
                <w:rFonts w:hint="eastAsia"/>
              </w:rPr>
              <w:t>承载微服务接入与核心业务服务</w:t>
            </w:r>
          </w:p>
        </w:tc>
        <w:tc>
          <w:p w14:paraId="3249FD5D">
            <w:r>
              <w:rPr>
                <w:rFonts w:hint="eastAsia"/>
              </w:rPr>
              <w:t>现有资源纳入正式方案</w:t>
            </w:r>
          </w:p>
        </w:tc>
      </w:tr>
      <w:tr w14:paraId="6A16691D">
        <w:tc>
          <w:p w14:paraId="145B7861">
            <w:r>
              <w:t>3</w:t>
            </w:r>
          </w:p>
        </w:tc>
        <w:tc>
          <w:p w14:paraId="43944C98">
            <w:pPr>
              <w:jc w:val="right"/>
            </w:pPr>
            <w:r>
              <w:rPr>
                <w:rFonts w:hint="eastAsia"/>
              </w:rPr>
              <w:t>数据、中间件与文件存储综合节点</w:t>
            </w:r>
          </w:p>
        </w:tc>
        <w:tc>
          <w:p w14:paraId="3F7031E5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2F44E12F">
            <w:r>
              <w:t xml:space="preserve">16 </w:t>
            </w:r>
            <w:r>
              <w:rPr>
                <w:rFonts w:hint="eastAsia"/>
              </w:rPr>
              <w:t>核</w:t>
            </w:r>
            <w:r>
              <w:t xml:space="preserve"> CPU / 32 GB </w:t>
            </w:r>
            <w:r>
              <w:rPr>
                <w:rFonts w:hint="eastAsia"/>
              </w:rPr>
              <w:t>内存</w:t>
            </w:r>
            <w:r>
              <w:t xml:space="preserve"> / 2300 GB </w:t>
            </w:r>
            <w:r>
              <w:rPr>
                <w:rFonts w:hint="eastAsia"/>
              </w:rPr>
              <w:t>存储</w:t>
            </w:r>
          </w:p>
        </w:tc>
        <w:tc>
          <w:p w14:paraId="24832A24">
            <w:r>
              <w:t>Redis、Nacos、MinIO、HAProxy、PgBouncer、Patroni</w:t>
            </w:r>
          </w:p>
        </w:tc>
        <w:tc>
          <w:p w14:paraId="529C58E9">
            <w:r>
              <w:rPr>
                <w:rFonts w:hint="eastAsia"/>
              </w:rPr>
              <w:t>承载缓存、配置治理、数据库控制、图片、附件、导出文件等能力</w:t>
            </w:r>
          </w:p>
        </w:tc>
        <w:tc>
          <w:p w14:paraId="300C6A8D">
            <w:r>
              <w:rPr>
                <w:rFonts w:hint="eastAsia"/>
              </w:rPr>
              <w:t>现有资源纳入正式方案</w:t>
            </w:r>
          </w:p>
        </w:tc>
      </w:tr>
      <w:tr w14:paraId="310E3AB4">
        <w:tc>
          <w:p w14:paraId="3E7488AC">
            <w:r>
              <w:t>4</w:t>
            </w:r>
          </w:p>
        </w:tc>
        <w:tc>
          <w:p w14:paraId="13276406">
            <w:pPr>
              <w:jc w:val="right"/>
            </w:pPr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5BB9902A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2A481195">
            <w:r>
              <w:t xml:space="preserve">2 </w:t>
            </w:r>
            <w:r>
              <w:rPr>
                <w:rFonts w:hint="eastAsia"/>
              </w:rPr>
              <w:t>核</w:t>
            </w:r>
            <w:r>
              <w:t xml:space="preserve"> CPU / 8 GB </w:t>
            </w:r>
            <w:r>
              <w:rPr>
                <w:rFonts w:hint="eastAsia"/>
              </w:rPr>
              <w:t>内存</w:t>
            </w:r>
            <w:r>
              <w:t xml:space="preserve"> / 200 GB </w:t>
            </w:r>
            <w:r>
              <w:rPr>
                <w:rFonts w:hint="eastAsia"/>
              </w:rPr>
              <w:t>存储</w:t>
            </w:r>
          </w:p>
        </w:tc>
        <w:tc>
          <w:p w14:paraId="4B3B4829">
            <w:r>
              <w:t xml:space="preserve">SFTP/FTP </w:t>
            </w:r>
            <w:r>
              <w:rPr>
                <w:rFonts w:hint="eastAsia"/>
              </w:rPr>
              <w:t>服务、送盘/回盘/对账目录、归档目录</w:t>
            </w:r>
          </w:p>
        </w:tc>
        <w:tc>
          <w:p w14:paraId="5C05FAE3">
            <w:r>
              <w:rPr>
                <w:rFonts w:hint="eastAsia"/>
              </w:rPr>
              <w:t>承载银行文件交换与目录隔离</w:t>
            </w:r>
          </w:p>
        </w:tc>
        <w:tc>
          <w:p w14:paraId="237B9140">
            <w:r>
              <w:rPr>
                <w:rFonts w:hint="eastAsia"/>
              </w:rPr>
              <w:t>按最节约一期规划建议新增或单独利旧</w:t>
            </w:r>
          </w:p>
        </w:tc>
      </w:tr>
      <w:tr w14:paraId="57F71C2A">
        <w:tc>
          <w:p w14:paraId="2DB82775">
            <w:r>
              <w:t>5</w:t>
            </w:r>
          </w:p>
        </w:tc>
        <w:tc>
          <w:p w14:paraId="705DCE51">
            <w:pPr>
              <w:jc w:val="right"/>
            </w:pPr>
            <w:r>
              <w:t xml:space="preserve">PostgreSQL </w:t>
            </w:r>
            <w:r>
              <w:rPr>
                <w:rFonts w:hint="eastAsia"/>
              </w:rPr>
              <w:t>主库服务器</w:t>
            </w:r>
          </w:p>
        </w:tc>
        <w:tc>
          <w:p w14:paraId="775C3568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56E77297">
            <w:r>
              <w:t xml:space="preserve">24 </w:t>
            </w:r>
            <w:r>
              <w:rPr>
                <w:rFonts w:hint="eastAsia"/>
              </w:rPr>
              <w:t>核</w:t>
            </w:r>
            <w:r>
              <w:t xml:space="preserve"> CPU / 48 GB </w:t>
            </w:r>
            <w:r>
              <w:rPr>
                <w:rFonts w:hint="eastAsia"/>
              </w:rPr>
              <w:t>内存</w:t>
            </w:r>
            <w:r>
              <w:t xml:space="preserve"> / 1 TB NVMe SSD</w:t>
            </w:r>
          </w:p>
        </w:tc>
        <w:tc>
          <w:p w14:paraId="581B222A">
            <w:r>
              <w:t>PostgreSQL 16 Primary</w:t>
            </w:r>
          </w:p>
        </w:tc>
        <w:tc>
          <w:p w14:paraId="201950E6">
            <w:r>
              <w:rPr>
                <w:rFonts w:hint="eastAsia"/>
              </w:rPr>
              <w:t>承载生产写入</w:t>
            </w:r>
          </w:p>
        </w:tc>
        <w:tc>
          <w:p w14:paraId="16B55B60">
            <w:r>
              <w:rPr>
                <w:rFonts w:hint="eastAsia"/>
              </w:rPr>
              <w:t>建议单独配置</w:t>
            </w:r>
          </w:p>
        </w:tc>
      </w:tr>
      <w:tr w14:paraId="7E01CF85">
        <w:tc>
          <w:p w14:paraId="4574D5AB">
            <w:r>
              <w:t>6</w:t>
            </w:r>
          </w:p>
        </w:tc>
        <w:tc>
          <w:p w14:paraId="0B38C28F">
            <w:pPr>
              <w:jc w:val="right"/>
            </w:pPr>
            <w:r>
              <w:t xml:space="preserve">PostgreSQL </w:t>
            </w:r>
            <w:r>
              <w:rPr>
                <w:rFonts w:hint="eastAsia"/>
              </w:rPr>
              <w:t>热备服务器</w:t>
            </w:r>
          </w:p>
        </w:tc>
        <w:tc>
          <w:p w14:paraId="65BA40D8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7BFBEE60">
            <w:r>
              <w:t xml:space="preserve">24 </w:t>
            </w:r>
            <w:r>
              <w:rPr>
                <w:rFonts w:hint="eastAsia"/>
              </w:rPr>
              <w:t>核</w:t>
            </w:r>
            <w:r>
              <w:t xml:space="preserve"> CPU / 48 GB </w:t>
            </w:r>
            <w:r>
              <w:rPr>
                <w:rFonts w:hint="eastAsia"/>
              </w:rPr>
              <w:t>内存</w:t>
            </w:r>
            <w:r>
              <w:t xml:space="preserve"> / 1 TB NVMe SSD</w:t>
            </w:r>
          </w:p>
        </w:tc>
        <w:tc>
          <w:p w14:paraId="59D30156">
            <w:r>
              <w:t>PostgreSQL 16 Standby</w:t>
            </w:r>
          </w:p>
        </w:tc>
        <w:tc>
          <w:p w14:paraId="3ED17B47">
            <w:r>
              <w:rPr>
                <w:rFonts w:hint="eastAsia"/>
              </w:rPr>
              <w:t>承载正式切换接管</w:t>
            </w:r>
          </w:p>
        </w:tc>
        <w:tc>
          <w:p w14:paraId="163E2793">
            <w:r>
              <w:rPr>
                <w:rFonts w:hint="eastAsia"/>
              </w:rPr>
              <w:t>建议单独配置</w:t>
            </w:r>
          </w:p>
        </w:tc>
      </w:tr>
      <w:tr w14:paraId="55319407">
        <w:tc>
          <w:p w14:paraId="0EC1D495">
            <w:r>
              <w:t>7</w:t>
            </w:r>
          </w:p>
        </w:tc>
        <w:tc>
          <w:p w14:paraId="7DB09F2D">
            <w:pPr>
              <w:jc w:val="right"/>
            </w:pPr>
            <w:r>
              <w:rPr>
                <w:rFonts w:hint="eastAsia"/>
              </w:rPr>
              <w:t>备份归档存储</w:t>
            </w:r>
          </w:p>
        </w:tc>
        <w:tc>
          <w:p w14:paraId="787A96D7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套</w:t>
            </w:r>
          </w:p>
        </w:tc>
        <w:tc>
          <w:p w14:paraId="7FE82DF0">
            <w:r>
              <w:rPr>
                <w:rFonts w:hint="eastAsia"/>
              </w:rPr>
              <w:t>可用空间</w:t>
            </w:r>
            <w:r>
              <w:t xml:space="preserve"> 4 TB </w:t>
            </w:r>
            <w:r>
              <w:rPr>
                <w:rFonts w:hint="eastAsia"/>
              </w:rPr>
              <w:t>至</w:t>
            </w:r>
            <w:r>
              <w:t xml:space="preserve"> 6 TB</w:t>
            </w:r>
          </w:p>
        </w:tc>
        <w:tc>
          <w:p w14:paraId="4C7D3263">
            <w:r>
              <w:rPr>
                <w:rFonts w:hint="eastAsia"/>
              </w:rPr>
              <w:t>基础备份、WAL</w:t>
            </w:r>
            <w:r>
              <w:t xml:space="preserve"> </w:t>
            </w:r>
            <w:r>
              <w:rPr>
                <w:rFonts w:hint="eastAsia"/>
              </w:rPr>
              <w:t>归档、恢复副本</w:t>
            </w:r>
          </w:p>
        </w:tc>
        <w:tc>
          <w:p w14:paraId="4040A2BD">
            <w:r>
              <w:rPr>
                <w:rFonts w:hint="eastAsia"/>
              </w:rPr>
              <w:t>保障恢复与审计追溯</w:t>
            </w:r>
          </w:p>
        </w:tc>
        <w:tc>
          <w:p w14:paraId="5F045E5F">
            <w:r>
              <w:rPr>
                <w:rFonts w:hint="eastAsia"/>
              </w:rPr>
              <w:t>可利旧或新增存储空间</w:t>
            </w:r>
          </w:p>
        </w:tc>
      </w:tr>
    </w:tbl>
    <w:p w14:paraId="2F3B2CD3">
      <w:pPr>
        <w:pStyle w:val="4"/>
      </w:pPr>
      <w:bookmarkStart w:id="15" w:name="审批建议"/>
      <w:r>
        <w:rPr>
          <w:rFonts w:hint="eastAsia"/>
        </w:rPr>
        <w:t>审批建议</w:t>
      </w:r>
    </w:p>
    <w:p w14:paraId="692D45A8">
      <w:pPr>
        <w:numPr>
          <w:ilvl w:val="0"/>
          <w:numId w:val="15"/>
        </w:numPr>
      </w:pPr>
      <w:r>
        <w:rPr>
          <w:rFonts w:hint="eastAsia"/>
        </w:rPr>
        <w:t>业务应用节点、综合节点、内网</w:t>
      </w:r>
      <w:r>
        <w:t xml:space="preserve"> Nginx </w:t>
      </w:r>
      <w:r>
        <w:rPr>
          <w:rFonts w:hint="eastAsia"/>
        </w:rPr>
        <w:t>入口节点可优先按现有资源纳入实施范围。</w:t>
      </w:r>
    </w:p>
    <w:p w14:paraId="0FF48407">
      <w:pPr>
        <w:numPr>
          <w:ilvl w:val="0"/>
          <w:numId w:val="15"/>
        </w:numPr>
      </w:pPr>
      <w:r>
        <w:t xml:space="preserve">SFTP/FTP </w:t>
      </w:r>
      <w:r>
        <w:rPr>
          <w:rFonts w:hint="eastAsia"/>
        </w:rPr>
        <w:t>文件交换服务器建议单独审批，以满足银行文件交换隔离和安全要求。</w:t>
      </w:r>
    </w:p>
    <w:p w14:paraId="28208262">
      <w:pPr>
        <w:numPr>
          <w:ilvl w:val="0"/>
          <w:numId w:val="15"/>
        </w:numPr>
      </w:pPr>
      <w:r>
        <w:t xml:space="preserve">PostgreSQL </w:t>
      </w:r>
      <w:r>
        <w:rPr>
          <w:rFonts w:hint="eastAsia"/>
        </w:rPr>
        <w:t>主库与热备库建议作为单独审批项，避免与现有业务节点混部。</w:t>
      </w:r>
    </w:p>
    <w:p w14:paraId="2D80D8A2">
      <w:pPr>
        <w:numPr>
          <w:ilvl w:val="0"/>
          <w:numId w:val="15"/>
        </w:numPr>
      </w:pPr>
      <w:r>
        <w:rPr>
          <w:rFonts w:hint="eastAsia"/>
        </w:rPr>
        <w:t>备份归档存储建议作为单独资源项审批，避免后期因备份空间不足影响正式上线。</w:t>
      </w:r>
    </w:p>
    <w:bookmarkEnd w:id="14"/>
    <w:bookmarkEnd w:id="15"/>
    <w:p w14:paraId="6D0C1F9B">
      <w:pPr>
        <w:pStyle w:val="3"/>
      </w:pPr>
      <w:bookmarkStart w:id="16" w:name="基础软件与版本清单"/>
      <w:r>
        <w:rPr>
          <w:rFonts w:hint="eastAsia"/>
        </w:rPr>
        <w:t>基础软件与版本清单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914"/>
        <w:gridCol w:w="1914"/>
        <w:gridCol w:w="1914"/>
        <w:gridCol w:w="1914"/>
      </w:tblGrid>
      <w:tr w14:paraId="6E1A9659">
        <w:trPr>
          <w:tblHeader/>
        </w:trPr>
        <w:tc>
          <w:p w14:paraId="7803A2B1">
            <w:r>
              <w:rPr>
                <w:rFonts w:hint="eastAsia"/>
              </w:rPr>
              <w:t>类别</w:t>
            </w:r>
          </w:p>
        </w:tc>
        <w:tc>
          <w:p w14:paraId="42100659">
            <w:r>
              <w:rPr>
                <w:rFonts w:hint="eastAsia"/>
              </w:rPr>
              <w:t>软件名称</w:t>
            </w:r>
          </w:p>
        </w:tc>
        <w:tc>
          <w:p w14:paraId="5BD50738">
            <w:r>
              <w:rPr>
                <w:rFonts w:hint="eastAsia"/>
              </w:rPr>
              <w:t>建议版本</w:t>
            </w:r>
          </w:p>
        </w:tc>
        <w:tc>
          <w:p w14:paraId="0B434E35">
            <w:r>
              <w:rPr>
                <w:rFonts w:hint="eastAsia"/>
              </w:rPr>
              <w:t>部署位置</w:t>
            </w:r>
          </w:p>
        </w:tc>
        <w:tc>
          <w:p w14:paraId="6DCD768F">
            <w:r>
              <w:rPr>
                <w:rFonts w:hint="eastAsia"/>
              </w:rPr>
              <w:t>说明</w:t>
            </w:r>
          </w:p>
        </w:tc>
      </w:tr>
      <w:tr w14:paraId="74D4EB74">
        <w:tc>
          <w:p w14:paraId="580EC7B5">
            <w:r>
              <w:rPr>
                <w:rFonts w:hint="eastAsia"/>
              </w:rPr>
              <w:t>操作系统</w:t>
            </w:r>
          </w:p>
        </w:tc>
        <w:tc>
          <w:p w14:paraId="7941553C">
            <w:r>
              <w:t xml:space="preserve">Linux </w:t>
            </w:r>
            <w:r>
              <w:rPr>
                <w:rFonts w:hint="eastAsia"/>
              </w:rPr>
              <w:t>发行版</w:t>
            </w:r>
          </w:p>
        </w:tc>
        <w:tc>
          <w:p w14:paraId="05B3F255">
            <w:r>
              <w:t>openEuler 20.03+ / CentOS 7.9+</w:t>
            </w:r>
          </w:p>
        </w:tc>
        <w:tc>
          <w:p w14:paraId="5EA958F7">
            <w:r>
              <w:rPr>
                <w:rFonts w:hint="eastAsia"/>
              </w:rPr>
              <w:t>全部服务器</w:t>
            </w:r>
          </w:p>
        </w:tc>
        <w:tc>
          <w:p w14:paraId="099DF2CA">
            <w:r>
              <w:rPr>
                <w:rFonts w:hint="eastAsia"/>
              </w:rPr>
              <w:t>按甲方基础环境标准选定</w:t>
            </w:r>
          </w:p>
        </w:tc>
      </w:tr>
      <w:tr w14:paraId="0BC2BD8C">
        <w:tc>
          <w:p w14:paraId="4A8D04B4">
            <w:r>
              <w:rPr>
                <w:rFonts w:hint="eastAsia"/>
              </w:rPr>
              <w:t>运行环境</w:t>
            </w:r>
          </w:p>
        </w:tc>
        <w:tc>
          <w:p w14:paraId="281B0678">
            <w:r>
              <w:t>JDK</w:t>
            </w:r>
          </w:p>
        </w:tc>
        <w:tc>
          <w:p w14:paraId="4416752C">
            <w:r>
              <w:t>17</w:t>
            </w:r>
          </w:p>
        </w:tc>
        <w:tc>
          <w:p w14:paraId="6C9A7A39">
            <w:r>
              <w:rPr>
                <w:rFonts w:hint="eastAsia"/>
              </w:rPr>
              <w:t>业务应用节点</w:t>
            </w:r>
          </w:p>
        </w:tc>
        <w:tc>
          <w:p w14:paraId="0E9249F8">
            <w:r>
              <w:t xml:space="preserve">Spring Boot </w:t>
            </w:r>
            <w:r>
              <w:rPr>
                <w:rFonts w:hint="eastAsia"/>
              </w:rPr>
              <w:t>运行环境</w:t>
            </w:r>
          </w:p>
        </w:tc>
      </w:tr>
      <w:tr w14:paraId="4623C12C">
        <w:tc>
          <w:p w14:paraId="3E85DED1">
            <w:r>
              <w:rPr>
                <w:rFonts w:hint="eastAsia"/>
              </w:rPr>
              <w:t>接入层</w:t>
            </w:r>
          </w:p>
        </w:tc>
        <w:tc>
          <w:p w14:paraId="6ACC9D61">
            <w:r>
              <w:t>Nginx</w:t>
            </w:r>
          </w:p>
        </w:tc>
        <w:tc>
          <w:p w14:paraId="1BA390B1">
            <w:r>
              <w:t>1.20+</w:t>
            </w:r>
          </w:p>
        </w:tc>
        <w:tc>
          <w:p w14:paraId="49D171EE">
            <w:r>
              <w:rPr>
                <w:rFonts w:hint="eastAsia"/>
              </w:rPr>
              <w:t>内网</w:t>
            </w:r>
            <w:r>
              <w:t xml:space="preserve"> Nginx </w:t>
            </w:r>
            <w:r>
              <w:rPr>
                <w:rFonts w:hint="eastAsia"/>
              </w:rPr>
              <w:t>入口节点</w:t>
            </w:r>
          </w:p>
        </w:tc>
        <w:tc>
          <w:p w14:paraId="7585A2ED">
            <w:r>
              <w:rPr>
                <w:rFonts w:hint="eastAsia"/>
              </w:rPr>
              <w:t>内网</w:t>
            </w:r>
            <w:r>
              <w:t xml:space="preserve"> API </w:t>
            </w:r>
            <w:r>
              <w:rPr>
                <w:rFonts w:hint="eastAsia"/>
              </w:rPr>
              <w:t>转发、内部负载均衡</w:t>
            </w:r>
          </w:p>
        </w:tc>
      </w:tr>
      <w:tr w14:paraId="54ABFFA4">
        <w:tc>
          <w:p w14:paraId="7883ECD4">
            <w:r>
              <w:rPr>
                <w:rFonts w:hint="eastAsia"/>
              </w:rPr>
              <w:t>网关服务</w:t>
            </w:r>
          </w:p>
        </w:tc>
        <w:tc>
          <w:p w14:paraId="4F180300">
            <w:r>
              <w:t>Spring Boot Gateway</w:t>
            </w:r>
          </w:p>
        </w:tc>
        <w:tc>
          <w:p w14:paraId="519A896B">
            <w:r>
              <w:t>3.x</w:t>
            </w:r>
          </w:p>
        </w:tc>
        <w:tc>
          <w:p w14:paraId="03A435D3">
            <w:r>
              <w:rPr>
                <w:rFonts w:hint="eastAsia"/>
              </w:rPr>
              <w:t>业务应用节点</w:t>
            </w:r>
          </w:p>
        </w:tc>
        <w:tc>
          <w:p w14:paraId="170AD379">
            <w:r>
              <w:rPr>
                <w:rFonts w:hint="eastAsia"/>
              </w:rPr>
              <w:t>微服务集群统一接入</w:t>
            </w:r>
          </w:p>
        </w:tc>
      </w:tr>
      <w:tr w14:paraId="74D52143">
        <w:tc>
          <w:p w14:paraId="380039AF">
            <w:r>
              <w:rPr>
                <w:rFonts w:hint="eastAsia"/>
              </w:rPr>
              <w:t>业务服务</w:t>
            </w:r>
          </w:p>
        </w:tc>
        <w:tc>
          <w:p w14:paraId="28D242B5">
            <w:r>
              <w:t>Spring Boot</w:t>
            </w:r>
          </w:p>
        </w:tc>
        <w:tc>
          <w:p w14:paraId="67DB7D29">
            <w:r>
              <w:t>3.x</w:t>
            </w:r>
          </w:p>
        </w:tc>
        <w:tc>
          <w:p w14:paraId="5FE316D5">
            <w:r>
              <w:rPr>
                <w:rFonts w:hint="eastAsia"/>
              </w:rPr>
              <w:t>业务应用节点</w:t>
            </w:r>
          </w:p>
        </w:tc>
        <w:tc>
          <w:p w14:paraId="7C3A9136">
            <w:r>
              <w:rPr>
                <w:rFonts w:hint="eastAsia"/>
              </w:rPr>
              <w:t>核心业务服务框架</w:t>
            </w:r>
          </w:p>
        </w:tc>
      </w:tr>
      <w:tr w14:paraId="582971E3">
        <w:tc>
          <w:p w14:paraId="4032C911">
            <w:r>
              <w:rPr>
                <w:rFonts w:hint="eastAsia"/>
              </w:rPr>
              <w:t>银行文件交换</w:t>
            </w:r>
          </w:p>
        </w:tc>
        <w:tc>
          <w:p w14:paraId="07C0A15C">
            <w:r>
              <w:t xml:space="preserve">SFTP/FTP </w:t>
            </w:r>
            <w:r>
              <w:rPr>
                <w:rFonts w:hint="eastAsia"/>
              </w:rPr>
              <w:t>服务</w:t>
            </w:r>
          </w:p>
        </w:tc>
        <w:tc>
          <w:p w14:paraId="196D1F49">
            <w:r>
              <w:rPr>
                <w:rFonts w:hint="eastAsia"/>
              </w:rPr>
              <w:t>稳定版</w:t>
            </w:r>
          </w:p>
        </w:tc>
        <w:tc>
          <w:p w14:paraId="043091F1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7233FB10">
            <w:r>
              <w:rPr>
                <w:rFonts w:hint="eastAsia"/>
              </w:rPr>
              <w:t>银行送盘、回盘、对账文件交换</w:t>
            </w:r>
          </w:p>
        </w:tc>
      </w:tr>
      <w:tr w14:paraId="44AB9589">
        <w:tc>
          <w:p w14:paraId="6CB17996">
            <w:r>
              <w:rPr>
                <w:rFonts w:hint="eastAsia"/>
              </w:rPr>
              <w:t>数据库</w:t>
            </w:r>
          </w:p>
        </w:tc>
        <w:tc>
          <w:p w14:paraId="77769DE3">
            <w:r>
              <w:t>PostgreSQL</w:t>
            </w:r>
          </w:p>
        </w:tc>
        <w:tc>
          <w:p w14:paraId="51403FAF">
            <w:r>
              <w:t>16</w:t>
            </w:r>
          </w:p>
        </w:tc>
        <w:tc>
          <w:p w14:paraId="3AAC7CD9">
            <w:r>
              <w:rPr>
                <w:rFonts w:hint="eastAsia"/>
              </w:rPr>
              <w:t>主库、热备库</w:t>
            </w:r>
          </w:p>
        </w:tc>
        <w:tc>
          <w:p w14:paraId="01E7FE0E">
            <w:r>
              <w:rPr>
                <w:rFonts w:hint="eastAsia"/>
              </w:rPr>
              <w:t>主备数据库部署</w:t>
            </w:r>
          </w:p>
        </w:tc>
      </w:tr>
      <w:tr w14:paraId="79ABA20A">
        <w:tc>
          <w:p w14:paraId="4E6945E0">
            <w:r>
              <w:rPr>
                <w:rFonts w:hint="eastAsia"/>
              </w:rPr>
              <w:t>缓存</w:t>
            </w:r>
          </w:p>
        </w:tc>
        <w:tc>
          <w:p w14:paraId="54E9E76D">
            <w:r>
              <w:t>Redis</w:t>
            </w:r>
          </w:p>
        </w:tc>
        <w:tc>
          <w:p w14:paraId="0D7AC264">
            <w:r>
              <w:t>6.2+</w:t>
            </w:r>
          </w:p>
        </w:tc>
        <w:tc>
          <w:p w14:paraId="67931555">
            <w:r>
              <w:rPr>
                <w:rFonts w:hint="eastAsia"/>
              </w:rPr>
              <w:t>综合节点</w:t>
            </w:r>
          </w:p>
        </w:tc>
        <w:tc>
          <w:p w14:paraId="47DBAE13">
            <w:r>
              <w:rPr>
                <w:rFonts w:hint="eastAsia"/>
              </w:rPr>
              <w:t>缓存、会话、轻量级消息能力</w:t>
            </w:r>
          </w:p>
        </w:tc>
      </w:tr>
      <w:tr w14:paraId="6452346B">
        <w:tc>
          <w:p w14:paraId="74861A7E">
            <w:r>
              <w:rPr>
                <w:rFonts w:hint="eastAsia"/>
              </w:rPr>
              <w:t>配置中心</w:t>
            </w:r>
          </w:p>
        </w:tc>
        <w:tc>
          <w:p w14:paraId="0EC76FFD">
            <w:r>
              <w:t>Nacos</w:t>
            </w:r>
          </w:p>
        </w:tc>
        <w:tc>
          <w:p w14:paraId="3F28DAC1">
            <w:r>
              <w:t>2.x</w:t>
            </w:r>
          </w:p>
        </w:tc>
        <w:tc>
          <w:p w14:paraId="5F3192F1">
            <w:r>
              <w:rPr>
                <w:rFonts w:hint="eastAsia"/>
              </w:rPr>
              <w:t>综合节点</w:t>
            </w:r>
          </w:p>
        </w:tc>
        <w:tc>
          <w:p w14:paraId="757D6534">
            <w:r>
              <w:rPr>
                <w:rFonts w:hint="eastAsia"/>
              </w:rPr>
              <w:t>配置治理与注册管理</w:t>
            </w:r>
          </w:p>
        </w:tc>
      </w:tr>
      <w:tr w14:paraId="5B00DFEA">
        <w:tc>
          <w:p w14:paraId="73076E11">
            <w:r>
              <w:rPr>
                <w:rFonts w:hint="eastAsia"/>
              </w:rPr>
              <w:t>对象存储</w:t>
            </w:r>
          </w:p>
        </w:tc>
        <w:tc>
          <w:p w14:paraId="5651EF36">
            <w:r>
              <w:t>MinIO</w:t>
            </w:r>
          </w:p>
        </w:tc>
        <w:tc>
          <w:p w14:paraId="0F4F8897">
            <w:r>
              <w:t xml:space="preserve">RELEASE </w:t>
            </w:r>
            <w:r>
              <w:rPr>
                <w:rFonts w:hint="eastAsia"/>
              </w:rPr>
              <w:t>稳定版</w:t>
            </w:r>
          </w:p>
        </w:tc>
        <w:tc>
          <w:p w14:paraId="529C288A">
            <w:r>
              <w:rPr>
                <w:rFonts w:hint="eastAsia"/>
              </w:rPr>
              <w:t>综合节点</w:t>
            </w:r>
          </w:p>
        </w:tc>
        <w:tc>
          <w:p w14:paraId="5BD500D5">
            <w:r>
              <w:rPr>
                <w:rFonts w:hint="eastAsia"/>
              </w:rPr>
              <w:t>图片、附件、导出文件存储</w:t>
            </w:r>
          </w:p>
        </w:tc>
      </w:tr>
      <w:tr w14:paraId="00FAC003">
        <w:tc>
          <w:p w14:paraId="23BDA324">
            <w:r>
              <w:rPr>
                <w:rFonts w:hint="eastAsia"/>
              </w:rPr>
              <w:t>数据库代理</w:t>
            </w:r>
          </w:p>
        </w:tc>
        <w:tc>
          <w:p w14:paraId="65B34FF5">
            <w:r>
              <w:t>HAProxy</w:t>
            </w:r>
          </w:p>
        </w:tc>
        <w:tc>
          <w:p w14:paraId="57D1B76B">
            <w:r>
              <w:t>2.x</w:t>
            </w:r>
          </w:p>
        </w:tc>
        <w:tc>
          <w:p w14:paraId="08F88CA4">
            <w:r>
              <w:rPr>
                <w:rFonts w:hint="eastAsia"/>
              </w:rPr>
              <w:t>综合节点</w:t>
            </w:r>
          </w:p>
        </w:tc>
        <w:tc>
          <w:p w14:paraId="31953E5A">
            <w:r>
              <w:rPr>
                <w:rFonts w:hint="eastAsia"/>
              </w:rPr>
              <w:t>数据库读写入口代理</w:t>
            </w:r>
          </w:p>
        </w:tc>
      </w:tr>
      <w:tr w14:paraId="2220F19D">
        <w:tc>
          <w:p w14:paraId="48358FBA">
            <w:r>
              <w:rPr>
                <w:rFonts w:hint="eastAsia"/>
              </w:rPr>
              <w:t>连接池</w:t>
            </w:r>
          </w:p>
        </w:tc>
        <w:tc>
          <w:p w14:paraId="4BA8F909">
            <w:r>
              <w:t>PgBouncer</w:t>
            </w:r>
          </w:p>
        </w:tc>
        <w:tc>
          <w:p w14:paraId="5CAD7D8D">
            <w:r>
              <w:t>1.2x+</w:t>
            </w:r>
          </w:p>
        </w:tc>
        <w:tc>
          <w:p w14:paraId="49867B31">
            <w:r>
              <w:rPr>
                <w:rFonts w:hint="eastAsia"/>
              </w:rPr>
              <w:t>综合节点</w:t>
            </w:r>
          </w:p>
        </w:tc>
        <w:tc>
          <w:p w14:paraId="4D7240BC">
            <w:r>
              <w:rPr>
                <w:rFonts w:hint="eastAsia"/>
              </w:rPr>
              <w:t>统一数据库连接池</w:t>
            </w:r>
          </w:p>
        </w:tc>
      </w:tr>
      <w:tr w14:paraId="3F6C2525">
        <w:tc>
          <w:p w14:paraId="5EFB2C37">
            <w:r>
              <w:rPr>
                <w:rFonts w:hint="eastAsia"/>
              </w:rPr>
              <w:t>高可用控制</w:t>
            </w:r>
          </w:p>
        </w:tc>
        <w:tc>
          <w:p w14:paraId="163D34C3">
            <w:r>
              <w:t>Patroni</w:t>
            </w:r>
          </w:p>
        </w:tc>
        <w:tc>
          <w:p w14:paraId="1011F3AB">
            <w:r>
              <w:rPr>
                <w:rFonts w:hint="eastAsia"/>
              </w:rPr>
              <w:t>稳定版</w:t>
            </w:r>
          </w:p>
        </w:tc>
        <w:tc>
          <w:p w14:paraId="32183DE9">
            <w:r>
              <w:rPr>
                <w:rFonts w:hint="eastAsia"/>
              </w:rPr>
              <w:t>综合节点</w:t>
            </w:r>
          </w:p>
        </w:tc>
        <w:tc>
          <w:p w14:paraId="470EDB8C">
            <w:r>
              <w:rPr>
                <w:rFonts w:hint="eastAsia"/>
              </w:rPr>
              <w:t>主备状态管理与切换</w:t>
            </w:r>
          </w:p>
        </w:tc>
      </w:tr>
      <w:bookmarkEnd w:id="16"/>
    </w:tbl>
    <w:p w14:paraId="5DD7A665">
      <w:pPr>
        <w:pStyle w:val="3"/>
      </w:pPr>
      <w:bookmarkStart w:id="17" w:name="部署方式说明"/>
      <w:r>
        <w:rPr>
          <w:rFonts w:hint="eastAsia"/>
        </w:rPr>
        <w:t>部署方式说明</w:t>
      </w:r>
    </w:p>
    <w:p w14:paraId="5D510E5C">
      <w:pPr>
        <w:pStyle w:val="4"/>
      </w:pPr>
      <w:bookmarkStart w:id="18" w:name="总体部署原则"/>
      <w:r>
        <w:rPr>
          <w:rFonts w:hint="eastAsia"/>
        </w:rPr>
        <w:t>总体部署原则</w:t>
      </w:r>
    </w:p>
    <w:p w14:paraId="1E026C23">
      <w:r>
        <w:rPr>
          <w:rFonts w:hint="eastAsia"/>
        </w:rPr>
        <w:t>本方案的部署方式遵循以下原则：</w:t>
      </w:r>
    </w:p>
    <w:p w14:paraId="074DBA78">
      <w:pPr>
        <w:numPr>
          <w:ilvl w:val="0"/>
          <w:numId w:val="16"/>
        </w:numPr>
      </w:pPr>
      <w:r>
        <w:rPr>
          <w:rFonts w:hint="eastAsia"/>
        </w:rPr>
        <w:t>入口代理类组件优先采用</w:t>
      </w:r>
      <w:r>
        <w:t xml:space="preserve"> Docker </w:t>
      </w:r>
      <w:r>
        <w:rPr>
          <w:rFonts w:hint="eastAsia"/>
        </w:rPr>
        <w:t>部署，并可优先评估</w:t>
      </w:r>
      <w:r>
        <w:t xml:space="preserve"> host </w:t>
      </w:r>
      <w:r>
        <w:rPr>
          <w:rFonts w:hint="eastAsia"/>
        </w:rPr>
        <w:t>网络模式。</w:t>
      </w:r>
    </w:p>
    <w:p w14:paraId="15AD9164">
      <w:pPr>
        <w:numPr>
          <w:ilvl w:val="0"/>
          <w:numId w:val="16"/>
        </w:numPr>
      </w:pPr>
      <w:r>
        <w:rPr>
          <w:rFonts w:hint="eastAsia"/>
        </w:rPr>
        <w:t>业务应用优先采用</w:t>
      </w:r>
      <w:r>
        <w:t xml:space="preserve"> Docker </w:t>
      </w:r>
      <w:r>
        <w:rPr>
          <w:rFonts w:hint="eastAsia"/>
        </w:rPr>
        <w:t>部署，但不建议使用</w:t>
      </w:r>
      <w:r>
        <w:t xml:space="preserve"> host </w:t>
      </w:r>
      <w:r>
        <w:rPr>
          <w:rFonts w:hint="eastAsia"/>
        </w:rPr>
        <w:t>网络模式。</w:t>
      </w:r>
    </w:p>
    <w:p w14:paraId="60725CA7">
      <w:pPr>
        <w:numPr>
          <w:ilvl w:val="0"/>
          <w:numId w:val="16"/>
        </w:numPr>
      </w:pPr>
      <w:r>
        <w:rPr>
          <w:rFonts w:hint="eastAsia"/>
        </w:rPr>
        <w:t>数据库主备优先采用物理机或虚拟机直接部署，不建议容器化承载</w:t>
      </w:r>
      <w:r>
        <w:t xml:space="preserve"> PostgreSQL </w:t>
      </w:r>
      <w:r>
        <w:rPr>
          <w:rFonts w:hint="eastAsia"/>
        </w:rPr>
        <w:t>主备本体。</w:t>
      </w:r>
    </w:p>
    <w:p w14:paraId="5A47B856">
      <w:pPr>
        <w:numPr>
          <w:ilvl w:val="0"/>
          <w:numId w:val="16"/>
        </w:numPr>
      </w:pPr>
      <w:r>
        <w:rPr>
          <w:rFonts w:hint="eastAsia"/>
        </w:rPr>
        <w:t>数据库控制组件如需容器化，应优先选择轻量代理组件容器化，高可用控制组件仍以直接部署为优先。</w:t>
      </w:r>
    </w:p>
    <w:bookmarkEnd w:id="18"/>
    <w:p w14:paraId="61C2275F">
      <w:pPr>
        <w:pStyle w:val="4"/>
      </w:pPr>
      <w:bookmarkStart w:id="19" w:name="组件部署方式建议"/>
      <w:r>
        <w:rPr>
          <w:rFonts w:hint="eastAsia"/>
        </w:rPr>
        <w:t>组件部署方式建议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914"/>
        <w:gridCol w:w="1914"/>
        <w:gridCol w:w="1914"/>
        <w:gridCol w:w="1914"/>
      </w:tblGrid>
      <w:tr w14:paraId="5314E018">
        <w:trPr>
          <w:tblHeader/>
        </w:trPr>
        <w:tc>
          <w:p w14:paraId="332A5D3E">
            <w:r>
              <w:rPr>
                <w:rFonts w:hint="eastAsia"/>
              </w:rPr>
              <w:t>组件</w:t>
            </w:r>
          </w:p>
        </w:tc>
        <w:tc>
          <w:p w14:paraId="1660687E">
            <w:r>
              <w:rPr>
                <w:rFonts w:hint="eastAsia"/>
              </w:rPr>
              <w:t>部署节点</w:t>
            </w:r>
          </w:p>
        </w:tc>
        <w:tc>
          <w:p w14:paraId="1AC89628">
            <w:r>
              <w:rPr>
                <w:rFonts w:hint="eastAsia"/>
              </w:rPr>
              <w:t>建议部署方式</w:t>
            </w:r>
          </w:p>
        </w:tc>
        <w:tc>
          <w:p w14:paraId="37327019">
            <w:r>
              <w:rPr>
                <w:rFonts w:hint="eastAsia"/>
              </w:rPr>
              <w:t>是否建议</w:t>
            </w:r>
            <w:r>
              <w:t xml:space="preserve"> host </w:t>
            </w:r>
            <w:r>
              <w:rPr>
                <w:rFonts w:hint="eastAsia"/>
              </w:rPr>
              <w:t>模式</w:t>
            </w:r>
          </w:p>
        </w:tc>
        <w:tc>
          <w:p w14:paraId="0C7EC907">
            <w:r>
              <w:rPr>
                <w:rFonts w:hint="eastAsia"/>
              </w:rPr>
              <w:t>说明</w:t>
            </w:r>
          </w:p>
        </w:tc>
      </w:tr>
      <w:tr w14:paraId="4C8AC9CF">
        <w:tc>
          <w:p w14:paraId="6EFD9597">
            <w:r>
              <w:rPr>
                <w:rFonts w:hint="eastAsia"/>
              </w:rPr>
              <w:t>内网</w:t>
            </w:r>
            <w:r>
              <w:t xml:space="preserve"> Nginx</w:t>
            </w:r>
          </w:p>
        </w:tc>
        <w:tc>
          <w:p w14:paraId="4467A432">
            <w:r>
              <w:rPr>
                <w:rFonts w:hint="eastAsia"/>
              </w:rPr>
              <w:t>内网</w:t>
            </w:r>
            <w:r>
              <w:t xml:space="preserve"> Nginx </w:t>
            </w:r>
            <w:r>
              <w:rPr>
                <w:rFonts w:hint="eastAsia"/>
              </w:rPr>
              <w:t>入口节点</w:t>
            </w:r>
          </w:p>
        </w:tc>
        <w:tc>
          <w:p w14:paraId="70CE16BB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019F434B">
            <w:r>
              <w:rPr>
                <w:rFonts w:hint="eastAsia"/>
              </w:rPr>
              <w:t>是，优先建议</w:t>
            </w:r>
          </w:p>
        </w:tc>
        <w:tc>
          <w:p w14:paraId="53FD3851">
            <w:r>
              <w:rPr>
                <w:rFonts w:hint="eastAsia"/>
              </w:rPr>
              <w:t>作为我方统一接入入口，便于端口管理与转发</w:t>
            </w:r>
          </w:p>
        </w:tc>
      </w:tr>
      <w:tr w14:paraId="30A281A5">
        <w:tc>
          <w:p w14:paraId="06311C03">
            <w:r>
              <w:t>Spring Boot Gateway</w:t>
            </w:r>
          </w:p>
        </w:tc>
        <w:tc>
          <w:p w14:paraId="56224510">
            <w:r>
              <w:rPr>
                <w:rFonts w:hint="eastAsia"/>
              </w:rPr>
              <w:t>业务应用节点（主）</w:t>
            </w:r>
          </w:p>
        </w:tc>
        <w:tc>
          <w:p w14:paraId="234F1078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0343FF5E">
            <w:r>
              <w:rPr>
                <w:rFonts w:hint="eastAsia"/>
              </w:rPr>
              <w:t>否</w:t>
            </w:r>
          </w:p>
        </w:tc>
        <w:tc>
          <w:p w14:paraId="3EE6E952">
            <w:r>
              <w:rPr>
                <w:rFonts w:hint="eastAsia"/>
              </w:rPr>
              <w:t>作为微服务统一接入入口，建议与业务服务同节点部署</w:t>
            </w:r>
          </w:p>
        </w:tc>
      </w:tr>
      <w:tr w14:paraId="6AF21D5B">
        <w:tc>
          <w:p w14:paraId="5C386EF1">
            <w:r>
              <w:t xml:space="preserve">Spring Boot </w:t>
            </w:r>
            <w:r>
              <w:rPr>
                <w:rFonts w:hint="eastAsia"/>
              </w:rPr>
              <w:t>应用</w:t>
            </w:r>
          </w:p>
        </w:tc>
        <w:tc>
          <w:p w14:paraId="6C067E28">
            <w:r>
              <w:rPr>
                <w:rFonts w:hint="eastAsia"/>
              </w:rPr>
              <w:t>业务应用节点（主）</w:t>
            </w:r>
          </w:p>
        </w:tc>
        <w:tc>
          <w:p w14:paraId="03A594A6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01F7FDA1">
            <w:r>
              <w:rPr>
                <w:rFonts w:hint="eastAsia"/>
              </w:rPr>
              <w:t>否</w:t>
            </w:r>
          </w:p>
        </w:tc>
        <w:tc>
          <w:p w14:paraId="35E6E1F1">
            <w:r>
              <w:rPr>
                <w:rFonts w:hint="eastAsia"/>
              </w:rPr>
              <w:t>便于发布、回滚、扩容，保留容器网络隔离</w:t>
            </w:r>
          </w:p>
        </w:tc>
      </w:tr>
      <w:tr w14:paraId="2EAB1025">
        <w:tc>
          <w:p w14:paraId="72E33783">
            <w:r>
              <w:t xml:space="preserve">SFTP/FTP </w:t>
            </w:r>
            <w:r>
              <w:rPr>
                <w:rFonts w:hint="eastAsia"/>
              </w:rPr>
              <w:t>服务</w:t>
            </w:r>
          </w:p>
        </w:tc>
        <w:tc>
          <w:p w14:paraId="03A20891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1E254027">
            <w:r>
              <w:rPr>
                <w:rFonts w:hint="eastAsia"/>
              </w:rPr>
              <w:t>物理机/虚拟机直接部署</w:t>
            </w:r>
          </w:p>
        </w:tc>
        <w:tc>
          <w:p w14:paraId="66665B1D">
            <w:r>
              <w:rPr>
                <w:rFonts w:hint="eastAsia"/>
              </w:rPr>
              <w:t>否</w:t>
            </w:r>
          </w:p>
        </w:tc>
        <w:tc>
          <w:p w14:paraId="07F5D881">
            <w:r>
              <w:rPr>
                <w:rFonts w:hint="eastAsia"/>
              </w:rPr>
              <w:t>作为银行文件交换专用服务，建议独立部署并做目录隔离</w:t>
            </w:r>
          </w:p>
        </w:tc>
      </w:tr>
      <w:tr w14:paraId="791099E2">
        <w:tc>
          <w:p w14:paraId="1D52660D">
            <w:r>
              <w:t>Redis</w:t>
            </w:r>
          </w:p>
        </w:tc>
        <w:tc>
          <w:p w14:paraId="4D5362A1">
            <w:r>
              <w:rPr>
                <w:rFonts w:hint="eastAsia"/>
              </w:rPr>
              <w:t>综合节点</w:t>
            </w:r>
          </w:p>
        </w:tc>
        <w:tc>
          <w:p w14:paraId="4655BAD0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01E78765">
            <w:r>
              <w:rPr>
                <w:rFonts w:hint="eastAsia"/>
              </w:rPr>
              <w:t>可选</w:t>
            </w:r>
          </w:p>
        </w:tc>
        <w:tc>
          <w:p w14:paraId="4C958F69">
            <w:r>
              <w:rPr>
                <w:rFonts w:hint="eastAsia"/>
              </w:rPr>
              <w:t>可采用普通容器网络，必要时可评估</w:t>
            </w:r>
            <w:r>
              <w:t xml:space="preserve"> host</w:t>
            </w:r>
          </w:p>
        </w:tc>
      </w:tr>
      <w:tr w14:paraId="2172620C">
        <w:tc>
          <w:p w14:paraId="1FEEA767">
            <w:r>
              <w:t>Nacos</w:t>
            </w:r>
          </w:p>
        </w:tc>
        <w:tc>
          <w:p w14:paraId="51677977">
            <w:r>
              <w:rPr>
                <w:rFonts w:hint="eastAsia"/>
              </w:rPr>
              <w:t>综合节点</w:t>
            </w:r>
          </w:p>
        </w:tc>
        <w:tc>
          <w:p w14:paraId="32B96DD0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6C93D226">
            <w:r>
              <w:rPr>
                <w:rFonts w:hint="eastAsia"/>
              </w:rPr>
              <w:t>可选</w:t>
            </w:r>
          </w:p>
        </w:tc>
        <w:tc>
          <w:p w14:paraId="6AEF6526">
            <w:r>
              <w:rPr>
                <w:rFonts w:hint="eastAsia"/>
              </w:rPr>
              <w:t>默认容器网络即可，便于配置治理</w:t>
            </w:r>
          </w:p>
        </w:tc>
      </w:tr>
      <w:tr w14:paraId="7115E46C">
        <w:tc>
          <w:p w14:paraId="45DD422E">
            <w:r>
              <w:t>HAProxy</w:t>
            </w:r>
          </w:p>
        </w:tc>
        <w:tc>
          <w:p w14:paraId="413F5A50">
            <w:r>
              <w:rPr>
                <w:rFonts w:hint="eastAsia"/>
              </w:rPr>
              <w:t>综合节点</w:t>
            </w:r>
          </w:p>
        </w:tc>
        <w:tc>
          <w:p w14:paraId="1C8EF4CA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7124EC41">
            <w:r>
              <w:rPr>
                <w:rFonts w:hint="eastAsia"/>
              </w:rPr>
              <w:t>是，优先建议</w:t>
            </w:r>
          </w:p>
        </w:tc>
        <w:tc>
          <w:p w14:paraId="4D73E98B">
            <w:r>
              <w:rPr>
                <w:rFonts w:hint="eastAsia"/>
              </w:rPr>
              <w:t>作为数据库代理入口，适合</w:t>
            </w:r>
            <w:r>
              <w:t xml:space="preserve"> host </w:t>
            </w:r>
            <w:r>
              <w:rPr>
                <w:rFonts w:hint="eastAsia"/>
              </w:rPr>
              <w:t>模式</w:t>
            </w:r>
          </w:p>
        </w:tc>
      </w:tr>
      <w:tr w14:paraId="2A115657">
        <w:tc>
          <w:p w14:paraId="5858C9BA">
            <w:r>
              <w:t>PgBouncer</w:t>
            </w:r>
          </w:p>
        </w:tc>
        <w:tc>
          <w:p w14:paraId="2F917F15">
            <w:r>
              <w:rPr>
                <w:rFonts w:hint="eastAsia"/>
              </w:rPr>
              <w:t>综合节点</w:t>
            </w:r>
          </w:p>
        </w:tc>
        <w:tc>
          <w:p w14:paraId="2986E24C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34E50915">
            <w:r>
              <w:rPr>
                <w:rFonts w:hint="eastAsia"/>
              </w:rPr>
              <w:t>是，优先建议</w:t>
            </w:r>
          </w:p>
        </w:tc>
        <w:tc>
          <w:p w14:paraId="25F04476">
            <w:r>
              <w:rPr>
                <w:rFonts w:hint="eastAsia"/>
              </w:rPr>
              <w:t>作为数据库连接池入口，适合</w:t>
            </w:r>
            <w:r>
              <w:t xml:space="preserve"> host </w:t>
            </w:r>
            <w:r>
              <w:rPr>
                <w:rFonts w:hint="eastAsia"/>
              </w:rPr>
              <w:t>模式</w:t>
            </w:r>
          </w:p>
        </w:tc>
      </w:tr>
      <w:tr w14:paraId="42A3C8B8">
        <w:tc>
          <w:p w14:paraId="61428962">
            <w:r>
              <w:t>Patroni</w:t>
            </w:r>
          </w:p>
        </w:tc>
        <w:tc>
          <w:p w14:paraId="7BC9B542">
            <w:r>
              <w:rPr>
                <w:rFonts w:hint="eastAsia"/>
              </w:rPr>
              <w:t>综合节点</w:t>
            </w:r>
          </w:p>
        </w:tc>
        <w:tc>
          <w:p w14:paraId="58254369">
            <w:r>
              <w:rPr>
                <w:rFonts w:hint="eastAsia"/>
              </w:rPr>
              <w:t>物理机/虚拟机直接部署</w:t>
            </w:r>
          </w:p>
        </w:tc>
        <w:tc>
          <w:p w14:paraId="51E23F5F">
            <w:r>
              <w:rPr>
                <w:rFonts w:hint="eastAsia"/>
              </w:rPr>
              <w:t>否</w:t>
            </w:r>
          </w:p>
        </w:tc>
        <w:tc>
          <w:p w14:paraId="757F54D5">
            <w:r>
              <w:rPr>
                <w:rFonts w:hint="eastAsia"/>
              </w:rPr>
              <w:t>建议与系统服务集成，便于运维与切换控制</w:t>
            </w:r>
          </w:p>
        </w:tc>
      </w:tr>
      <w:tr w14:paraId="05B19A59">
        <w:tc>
          <w:p w14:paraId="366FA1A3">
            <w:r>
              <w:t>MinIO</w:t>
            </w:r>
          </w:p>
        </w:tc>
        <w:tc>
          <w:p w14:paraId="27ACB9BF">
            <w:r>
              <w:rPr>
                <w:rFonts w:hint="eastAsia"/>
              </w:rPr>
              <w:t>综合节点</w:t>
            </w:r>
          </w:p>
        </w:tc>
        <w:tc>
          <w:p w14:paraId="4E3E32FB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6B7163E6">
            <w:r>
              <w:rPr>
                <w:rFonts w:hint="eastAsia"/>
              </w:rPr>
              <w:t>否</w:t>
            </w:r>
          </w:p>
        </w:tc>
        <w:tc>
          <w:p w14:paraId="2F489874">
            <w:r>
              <w:rPr>
                <w:rFonts w:hint="eastAsia"/>
              </w:rPr>
              <w:t>更关注数据盘挂载与对象存储目录管理</w:t>
            </w:r>
          </w:p>
        </w:tc>
      </w:tr>
      <w:tr w14:paraId="2D8BDC99">
        <w:tc>
          <w:p w14:paraId="2F0DB371">
            <w:r>
              <w:t xml:space="preserve">PostgreSQL </w:t>
            </w:r>
            <w:r>
              <w:rPr>
                <w:rFonts w:hint="eastAsia"/>
              </w:rPr>
              <w:t>主库</w:t>
            </w:r>
          </w:p>
        </w:tc>
        <w:tc>
          <w:p w14:paraId="65003A3A">
            <w:r>
              <w:rPr>
                <w:rFonts w:hint="eastAsia"/>
              </w:rPr>
              <w:t>主库服务器</w:t>
            </w:r>
          </w:p>
        </w:tc>
        <w:tc>
          <w:p w14:paraId="5F9B7C12">
            <w:r>
              <w:rPr>
                <w:rFonts w:hint="eastAsia"/>
              </w:rPr>
              <w:t>物理机/虚拟机直接部署</w:t>
            </w:r>
          </w:p>
        </w:tc>
        <w:tc>
          <w:p w14:paraId="592ED06C">
            <w:r>
              <w:rPr>
                <w:rFonts w:hint="eastAsia"/>
              </w:rPr>
              <w:t>否</w:t>
            </w:r>
          </w:p>
        </w:tc>
        <w:tc>
          <w:p w14:paraId="46B1F346">
            <w:r>
              <w:rPr>
                <w:rFonts w:hint="eastAsia"/>
              </w:rPr>
              <w:t>核心数据库本体不建议容器化</w:t>
            </w:r>
          </w:p>
        </w:tc>
      </w:tr>
      <w:tr w14:paraId="5B5A2E2F">
        <w:tc>
          <w:p w14:paraId="286051AD">
            <w:r>
              <w:t xml:space="preserve">PostgreSQL </w:t>
            </w:r>
            <w:r>
              <w:rPr>
                <w:rFonts w:hint="eastAsia"/>
              </w:rPr>
              <w:t>热备</w:t>
            </w:r>
          </w:p>
        </w:tc>
        <w:tc>
          <w:p w14:paraId="5F39658C">
            <w:r>
              <w:rPr>
                <w:rFonts w:hint="eastAsia"/>
              </w:rPr>
              <w:t>热备服务器</w:t>
            </w:r>
          </w:p>
        </w:tc>
        <w:tc>
          <w:p w14:paraId="71B4A3EF">
            <w:r>
              <w:rPr>
                <w:rFonts w:hint="eastAsia"/>
              </w:rPr>
              <w:t>物理机/虚拟机直接部署</w:t>
            </w:r>
          </w:p>
        </w:tc>
        <w:tc>
          <w:p w14:paraId="7C196AF8">
            <w:r>
              <w:rPr>
                <w:rFonts w:hint="eastAsia"/>
              </w:rPr>
              <w:t>否</w:t>
            </w:r>
          </w:p>
        </w:tc>
        <w:tc>
          <w:p w14:paraId="5B3A35BD">
            <w:r>
              <w:rPr>
                <w:rFonts w:hint="eastAsia"/>
              </w:rPr>
              <w:t>高可用数据库本体不建议容器化</w:t>
            </w:r>
          </w:p>
        </w:tc>
      </w:tr>
      <w:bookmarkEnd w:id="19"/>
    </w:tbl>
    <w:p w14:paraId="1139EB17">
      <w:pPr>
        <w:pStyle w:val="4"/>
      </w:pPr>
      <w:bookmarkStart w:id="20" w:name="优先采用-docker-且可使用-host-模式的组件"/>
      <w:r>
        <w:rPr>
          <w:rFonts w:hint="eastAsia"/>
        </w:rPr>
        <w:t>优先采用</w:t>
      </w:r>
      <w:r>
        <w:t xml:space="preserve"> Docker </w:t>
      </w:r>
      <w:r>
        <w:rPr>
          <w:rFonts w:hint="eastAsia"/>
        </w:rPr>
        <w:t>且可使用</w:t>
      </w:r>
      <w:r>
        <w:t xml:space="preserve"> host </w:t>
      </w:r>
      <w:r>
        <w:rPr>
          <w:rFonts w:hint="eastAsia"/>
        </w:rPr>
        <w:t>模式的组件</w:t>
      </w:r>
    </w:p>
    <w:p w14:paraId="1CE49991">
      <w:r>
        <w:rPr>
          <w:rFonts w:hint="eastAsia"/>
        </w:rPr>
        <w:t>结合当前资源结构，建议优先采用</w:t>
      </w:r>
      <w:r>
        <w:t xml:space="preserve"> Docker + host </w:t>
      </w:r>
      <w:r>
        <w:rPr>
          <w:rFonts w:hint="eastAsia"/>
        </w:rPr>
        <w:t>模式的组件如下：</w:t>
      </w:r>
    </w:p>
    <w:p w14:paraId="662704FF">
      <w:pPr>
        <w:numPr>
          <w:ilvl w:val="0"/>
          <w:numId w:val="17"/>
        </w:numPr>
      </w:pPr>
      <w:r>
        <w:rPr>
          <w:rFonts w:hint="eastAsia"/>
        </w:rPr>
        <w:t>内网</w:t>
      </w:r>
      <w:r>
        <w:t xml:space="preserve"> Nginx</w:t>
      </w:r>
    </w:p>
    <w:p w14:paraId="631B81A6">
      <w:pPr>
        <w:numPr>
          <w:ilvl w:val="0"/>
          <w:numId w:val="17"/>
        </w:numPr>
      </w:pPr>
      <w:r>
        <w:t>HAProxy</w:t>
      </w:r>
    </w:p>
    <w:p w14:paraId="6CBDD2FF">
      <w:pPr>
        <w:numPr>
          <w:ilvl w:val="0"/>
          <w:numId w:val="17"/>
        </w:numPr>
      </w:pPr>
      <w:r>
        <w:t>PgBouncer</w:t>
      </w:r>
    </w:p>
    <w:p w14:paraId="4A28358E">
      <w:r>
        <w:rPr>
          <w:rFonts w:hint="eastAsia"/>
        </w:rPr>
        <w:t>采用</w:t>
      </w:r>
      <w:r>
        <w:t xml:space="preserve"> host </w:t>
      </w:r>
      <w:r>
        <w:rPr>
          <w:rFonts w:hint="eastAsia"/>
        </w:rPr>
        <w:t>模式的主要原因如下：</w:t>
      </w:r>
    </w:p>
    <w:p w14:paraId="58C15B5B">
      <w:pPr>
        <w:numPr>
          <w:ilvl w:val="0"/>
          <w:numId w:val="18"/>
        </w:numPr>
      </w:pPr>
      <w:r>
        <w:rPr>
          <w:rFonts w:hint="eastAsia"/>
        </w:rPr>
        <w:t>直接监听固定服务端口，减少端口映射复杂度。</w:t>
      </w:r>
    </w:p>
    <w:p w14:paraId="2DBFF54B">
      <w:pPr>
        <w:numPr>
          <w:ilvl w:val="0"/>
          <w:numId w:val="18"/>
        </w:numPr>
      </w:pPr>
      <w:r>
        <w:rPr>
          <w:rFonts w:hint="eastAsia"/>
        </w:rPr>
        <w:t>更便于与主机防火墙、域名、VIP、健康检查配合。</w:t>
      </w:r>
    </w:p>
    <w:p w14:paraId="54D26CD1">
      <w:pPr>
        <w:numPr>
          <w:ilvl w:val="0"/>
          <w:numId w:val="18"/>
        </w:numPr>
      </w:pPr>
      <w:r>
        <w:rPr>
          <w:rFonts w:hint="eastAsia"/>
        </w:rPr>
        <w:t>对于入口类与代理类组件，运维体验更接近直接部署。</w:t>
      </w:r>
    </w:p>
    <w:bookmarkEnd w:id="20"/>
    <w:p w14:paraId="1CD2C19E">
      <w:pPr>
        <w:pStyle w:val="4"/>
      </w:pPr>
      <w:bookmarkStart w:id="21" w:name="不建议采用-host-模式的组件"/>
      <w:r>
        <w:rPr>
          <w:rFonts w:hint="eastAsia"/>
        </w:rPr>
        <w:t>不建议采用</w:t>
      </w:r>
      <w:r>
        <w:t xml:space="preserve"> host </w:t>
      </w:r>
      <w:r>
        <w:rPr>
          <w:rFonts w:hint="eastAsia"/>
        </w:rPr>
        <w:t>模式的组件</w:t>
      </w:r>
    </w:p>
    <w:p w14:paraId="16E9A697">
      <w:r>
        <w:rPr>
          <w:rFonts w:hint="eastAsia"/>
        </w:rPr>
        <w:t>以下组件不建议采用</w:t>
      </w:r>
      <w:r>
        <w:t xml:space="preserve"> Docker + host </w:t>
      </w:r>
      <w:r>
        <w:rPr>
          <w:rFonts w:hint="eastAsia"/>
        </w:rPr>
        <w:t>模式：</w:t>
      </w:r>
    </w:p>
    <w:p w14:paraId="5D3FDDFA">
      <w:pPr>
        <w:numPr>
          <w:ilvl w:val="0"/>
          <w:numId w:val="19"/>
        </w:numPr>
      </w:pPr>
      <w:r>
        <w:t xml:space="preserve">Spring Boot </w:t>
      </w:r>
      <w:r>
        <w:rPr>
          <w:rFonts w:hint="eastAsia"/>
        </w:rPr>
        <w:t>业务应用：应保留容器网络隔离，便于扩容和端口治理。</w:t>
      </w:r>
    </w:p>
    <w:p w14:paraId="068B82AA">
      <w:pPr>
        <w:numPr>
          <w:ilvl w:val="0"/>
          <w:numId w:val="19"/>
        </w:numPr>
      </w:pPr>
      <w:r>
        <w:t>MinIO</w:t>
      </w:r>
      <w:r>
        <w:rPr>
          <w:rFonts w:hint="eastAsia"/>
        </w:rPr>
        <w:t>：应以存储挂载与数据目录管理为重点，不依赖</w:t>
      </w:r>
      <w:r>
        <w:t xml:space="preserve"> host </w:t>
      </w:r>
      <w:r>
        <w:rPr>
          <w:rFonts w:hint="eastAsia"/>
        </w:rPr>
        <w:t>模式。</w:t>
      </w:r>
    </w:p>
    <w:p w14:paraId="69A8BF42">
      <w:pPr>
        <w:numPr>
          <w:ilvl w:val="0"/>
          <w:numId w:val="19"/>
        </w:numPr>
      </w:pPr>
      <w:r>
        <w:t xml:space="preserve">PostgreSQL </w:t>
      </w:r>
      <w:r>
        <w:rPr>
          <w:rFonts w:hint="eastAsia"/>
        </w:rPr>
        <w:t>主库</w:t>
      </w:r>
      <w:r>
        <w:t xml:space="preserve"> / </w:t>
      </w:r>
      <w:r>
        <w:rPr>
          <w:rFonts w:hint="eastAsia"/>
        </w:rPr>
        <w:t>热备：数据库本体优先直接部署，不建议容器化。</w:t>
      </w:r>
    </w:p>
    <w:p w14:paraId="1CF18C57">
      <w:pPr>
        <w:numPr>
          <w:ilvl w:val="0"/>
          <w:numId w:val="19"/>
        </w:numPr>
      </w:pPr>
      <w:r>
        <w:t>Patroni</w:t>
      </w:r>
      <w:r>
        <w:rPr>
          <w:rFonts w:hint="eastAsia"/>
        </w:rPr>
        <w:t>：建议直接部署，便于与数据库高可用控制链路协同。</w:t>
      </w:r>
    </w:p>
    <w:bookmarkEnd w:id="17"/>
    <w:bookmarkEnd w:id="21"/>
    <w:p w14:paraId="0053CA3E">
      <w:pPr>
        <w:pStyle w:val="3"/>
      </w:pPr>
      <w:bookmarkStart w:id="22" w:name="网络需求"/>
      <w:r>
        <w:rPr>
          <w:rFonts w:hint="eastAsia"/>
        </w:rPr>
        <w:t>网络需求</w:t>
      </w:r>
    </w:p>
    <w:p w14:paraId="3C4F0AFF">
      <w:pPr>
        <w:pStyle w:val="4"/>
      </w:pPr>
      <w:bookmarkStart w:id="23" w:name="网络分区要求"/>
      <w:r>
        <w:t xml:space="preserve">1. </w:t>
      </w:r>
      <w:r>
        <w:rPr>
          <w:rFonts w:hint="eastAsia"/>
        </w:rPr>
        <w:t>网络分区要求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2940CE40">
        <w:trPr>
          <w:tblHeader/>
        </w:trPr>
        <w:tc>
          <w:p w14:paraId="6B8634EB">
            <w:r>
              <w:rPr>
                <w:rFonts w:hint="eastAsia"/>
              </w:rPr>
              <w:t>网络分区</w:t>
            </w:r>
          </w:p>
        </w:tc>
        <w:tc>
          <w:p w14:paraId="0E019847">
            <w:r>
              <w:rPr>
                <w:rFonts w:hint="eastAsia"/>
              </w:rPr>
              <w:t>部署对象</w:t>
            </w:r>
          </w:p>
        </w:tc>
        <w:tc>
          <w:p w14:paraId="230F7EDA">
            <w:r>
              <w:rPr>
                <w:rFonts w:hint="eastAsia"/>
              </w:rPr>
              <w:t>访问要求</w:t>
            </w:r>
          </w:p>
        </w:tc>
      </w:tr>
      <w:tr w14:paraId="4729CA6C">
        <w:tc>
          <w:p w14:paraId="157681B1">
            <w:r>
              <w:rPr>
                <w:rFonts w:hint="eastAsia"/>
              </w:rPr>
              <w:t>公网接入区</w:t>
            </w:r>
          </w:p>
        </w:tc>
        <w:tc>
          <w:p w14:paraId="56EA274D">
            <w:r>
              <w:rPr>
                <w:rFonts w:hint="eastAsia"/>
              </w:rPr>
              <w:t>公网入口薄转发</w:t>
            </w:r>
          </w:p>
        </w:tc>
        <w:tc>
          <w:p w14:paraId="01D83A43">
            <w:r>
              <w:rPr>
                <w:rFonts w:hint="eastAsia"/>
              </w:rPr>
              <w:t>对外提供</w:t>
            </w:r>
            <w:r>
              <w:t xml:space="preserve"> HTTPS </w:t>
            </w:r>
            <w:r>
              <w:rPr>
                <w:rFonts w:hint="eastAsia"/>
              </w:rPr>
              <w:t>访问，不纳入我方主机资源</w:t>
            </w:r>
          </w:p>
        </w:tc>
      </w:tr>
      <w:tr w14:paraId="6C560003">
        <w:tc>
          <w:p w14:paraId="337DEED1">
            <w:r>
              <w:rPr>
                <w:rFonts w:hint="eastAsia"/>
              </w:rPr>
              <w:t>应用区</w:t>
            </w:r>
          </w:p>
        </w:tc>
        <w:tc>
          <w:p w14:paraId="3B909C30">
            <w:r>
              <w:rPr>
                <w:rFonts w:hint="eastAsia"/>
              </w:rPr>
              <w:t>业务应用节点</w:t>
            </w:r>
          </w:p>
        </w:tc>
        <w:tc>
          <w:p w14:paraId="5742861B">
            <w:r>
              <w:rPr>
                <w:rFonts w:hint="eastAsia"/>
              </w:rPr>
              <w:t>仅允许内网接入区与运维区访问</w:t>
            </w:r>
          </w:p>
        </w:tc>
      </w:tr>
      <w:tr w14:paraId="01B57D14">
        <w:tc>
          <w:p w14:paraId="45C38046">
            <w:r>
              <w:rPr>
                <w:rFonts w:hint="eastAsia"/>
              </w:rPr>
              <w:t>中间件与文件存储区</w:t>
            </w:r>
          </w:p>
        </w:tc>
        <w:tc>
          <w:p w14:paraId="30CF5455">
            <w:r>
              <w:rPr>
                <w:rFonts w:hint="eastAsia"/>
              </w:rPr>
              <w:t>Redis、Nacos、MinIO、数据库控制组件</w:t>
            </w:r>
          </w:p>
        </w:tc>
        <w:tc>
          <w:p w14:paraId="2DB752EF">
            <w:r>
              <w:rPr>
                <w:rFonts w:hint="eastAsia"/>
              </w:rPr>
              <w:t>仅允许业务应用节点与运维区访问</w:t>
            </w:r>
          </w:p>
        </w:tc>
      </w:tr>
      <w:tr w14:paraId="0DEC541E">
        <w:tc>
          <w:p w14:paraId="51EE02EC">
            <w:r>
              <w:rPr>
                <w:rFonts w:hint="eastAsia"/>
              </w:rPr>
              <w:t>银行文件交换区</w:t>
            </w:r>
          </w:p>
        </w:tc>
        <w:tc>
          <w:p w14:paraId="0D50DDE4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0DE93246">
            <w:r>
              <w:rPr>
                <w:rFonts w:hint="eastAsia"/>
              </w:rPr>
              <w:t>仅允许业务应用节点、银行专线或授权外联链路访问</w:t>
            </w:r>
          </w:p>
        </w:tc>
      </w:tr>
      <w:tr w14:paraId="4B324E7E">
        <w:tc>
          <w:p w14:paraId="0453ABAA">
            <w:r>
              <w:rPr>
                <w:rFonts w:hint="eastAsia"/>
              </w:rPr>
              <w:t>数据区</w:t>
            </w:r>
          </w:p>
        </w:tc>
        <w:tc>
          <w:p w14:paraId="4BED6C72">
            <w:r>
              <w:t xml:space="preserve">PostgreSQL </w:t>
            </w:r>
            <w:r>
              <w:rPr>
                <w:rFonts w:hint="eastAsia"/>
              </w:rPr>
              <w:t>主库、热备库、备份存储</w:t>
            </w:r>
          </w:p>
        </w:tc>
        <w:tc>
          <w:p w14:paraId="43B09164">
            <w:r>
              <w:rPr>
                <w:rFonts w:hint="eastAsia"/>
              </w:rPr>
              <w:t>严格限制，仅允许中间件控制主机和运维区访问</w:t>
            </w:r>
          </w:p>
        </w:tc>
      </w:tr>
      <w:bookmarkEnd w:id="23"/>
    </w:tbl>
    <w:p w14:paraId="1D49D6A2">
      <w:pPr>
        <w:pStyle w:val="4"/>
      </w:pPr>
      <w:bookmarkStart w:id="24" w:name="带宽与时延要求"/>
      <w:r>
        <w:t xml:space="preserve">2. </w:t>
      </w:r>
      <w:r>
        <w:rPr>
          <w:rFonts w:hint="eastAsia"/>
        </w:rPr>
        <w:t>带宽与时延要求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779A33E0">
        <w:trPr>
          <w:tblHeader/>
        </w:trPr>
        <w:tc>
          <w:p w14:paraId="448293E7">
            <w:r>
              <w:rPr>
                <w:rFonts w:hint="eastAsia"/>
              </w:rPr>
              <w:t>网络链路</w:t>
            </w:r>
          </w:p>
        </w:tc>
        <w:tc>
          <w:p w14:paraId="3B0A0A1F">
            <w:r>
              <w:rPr>
                <w:rFonts w:hint="eastAsia"/>
              </w:rPr>
              <w:t>建议要求</w:t>
            </w:r>
          </w:p>
        </w:tc>
        <w:tc>
          <w:p w14:paraId="1608A0D1">
            <w:r>
              <w:rPr>
                <w:rFonts w:hint="eastAsia"/>
              </w:rPr>
              <w:t>说明</w:t>
            </w:r>
          </w:p>
        </w:tc>
      </w:tr>
      <w:tr w14:paraId="593CB704">
        <w:tc>
          <w:p w14:paraId="036EB1EE">
            <w:r>
              <w:rPr>
                <w:rFonts w:hint="eastAsia"/>
              </w:rPr>
              <w:t>公网入口薄转发到内网</w:t>
            </w:r>
            <w:r>
              <w:t xml:space="preserve"> Nginx</w:t>
            </w:r>
          </w:p>
        </w:tc>
        <w:tc>
          <w:p w14:paraId="23EE11C4">
            <w:r>
              <w:rPr>
                <w:rFonts w:hint="eastAsia"/>
              </w:rPr>
              <w:t>千兆网络</w:t>
            </w:r>
          </w:p>
        </w:tc>
        <w:tc>
          <w:p w14:paraId="7F411306">
            <w:r>
              <w:rPr>
                <w:rFonts w:hint="eastAsia"/>
              </w:rPr>
              <w:t>满足公网入口转发</w:t>
            </w:r>
          </w:p>
        </w:tc>
      </w:tr>
      <w:tr w14:paraId="5A6DD331">
        <w:tc>
          <w:p w14:paraId="3A9986CA">
            <w:r>
              <w:rPr>
                <w:rFonts w:hint="eastAsia"/>
              </w:rPr>
              <w:t>内网</w:t>
            </w:r>
            <w:r>
              <w:t xml:space="preserve"> Nginx </w:t>
            </w:r>
            <w:r>
              <w:rPr>
                <w:rFonts w:hint="eastAsia"/>
              </w:rPr>
              <w:t>到业务应用</w:t>
            </w:r>
          </w:p>
        </w:tc>
        <w:tc>
          <w:p w14:paraId="573316BB">
            <w:r>
              <w:rPr>
                <w:rFonts w:hint="eastAsia"/>
              </w:rPr>
              <w:t>千兆网络</w:t>
            </w:r>
          </w:p>
        </w:tc>
        <w:tc>
          <w:p w14:paraId="5E2DB41A">
            <w:r>
              <w:rPr>
                <w:rFonts w:hint="eastAsia"/>
              </w:rPr>
              <w:t>满足开放</w:t>
            </w:r>
            <w:r>
              <w:t xml:space="preserve"> API </w:t>
            </w:r>
            <w:r>
              <w:rPr>
                <w:rFonts w:hint="eastAsia"/>
              </w:rPr>
              <w:t>转发与网关接入</w:t>
            </w:r>
          </w:p>
        </w:tc>
      </w:tr>
      <w:tr w14:paraId="3222E217">
        <w:tc>
          <w:p w14:paraId="62801C49">
            <w:r>
              <w:rPr>
                <w:rFonts w:hint="eastAsia"/>
              </w:rPr>
              <w:t>业务应用到综合节点</w:t>
            </w:r>
          </w:p>
        </w:tc>
        <w:tc>
          <w:p w14:paraId="38CE9E69">
            <w:r>
              <w:rPr>
                <w:rFonts w:hint="eastAsia"/>
              </w:rPr>
              <w:t>千兆网络</w:t>
            </w:r>
          </w:p>
        </w:tc>
        <w:tc>
          <w:p w14:paraId="1B8F688A">
            <w:r>
              <w:rPr>
                <w:rFonts w:hint="eastAsia"/>
              </w:rPr>
              <w:t>满足缓存、配置治理、文件访问与数据库代理访问</w:t>
            </w:r>
          </w:p>
        </w:tc>
      </w:tr>
      <w:tr w14:paraId="3BC83709">
        <w:tc>
          <w:p w14:paraId="4D0945A0">
            <w:r>
              <w:rPr>
                <w:rFonts w:hint="eastAsia"/>
              </w:rPr>
              <w:t>业务应用到</w:t>
            </w:r>
            <w:r>
              <w:t xml:space="preserve"> SFTP/FTP </w:t>
            </w:r>
            <w:r>
              <w:rPr>
                <w:rFonts w:hint="eastAsia"/>
              </w:rPr>
              <w:t>服务器</w:t>
            </w:r>
          </w:p>
        </w:tc>
        <w:tc>
          <w:p w14:paraId="67DCDAA2">
            <w:r>
              <w:rPr>
                <w:rFonts w:hint="eastAsia"/>
              </w:rPr>
              <w:t>千兆网络</w:t>
            </w:r>
          </w:p>
        </w:tc>
        <w:tc>
          <w:p w14:paraId="35498FC6">
            <w:r>
              <w:rPr>
                <w:rFonts w:hint="eastAsia"/>
              </w:rPr>
              <w:t>满足送盘、回盘、对账文件交换</w:t>
            </w:r>
          </w:p>
        </w:tc>
      </w:tr>
      <w:tr w14:paraId="691FA529">
        <w:tc>
          <w:p w14:paraId="6E2DDE7C">
            <w:r>
              <w:rPr>
                <w:rFonts w:hint="eastAsia"/>
              </w:rPr>
              <w:t>银行链路到</w:t>
            </w:r>
            <w:r>
              <w:t xml:space="preserve"> SFTP/FTP </w:t>
            </w:r>
            <w:r>
              <w:rPr>
                <w:rFonts w:hint="eastAsia"/>
              </w:rPr>
              <w:t>服务器</w:t>
            </w:r>
          </w:p>
        </w:tc>
        <w:tc>
          <w:p w14:paraId="026DD396">
            <w:r>
              <w:rPr>
                <w:rFonts w:hint="eastAsia"/>
              </w:rPr>
              <w:t>千兆网络或专线</w:t>
            </w:r>
          </w:p>
        </w:tc>
        <w:tc>
          <w:p w14:paraId="2A4EC2A8">
            <w:r>
              <w:rPr>
                <w:rFonts w:hint="eastAsia"/>
              </w:rPr>
              <w:t>满足银行文件交换与目录投递</w:t>
            </w:r>
          </w:p>
        </w:tc>
      </w:tr>
      <w:tr w14:paraId="594FF174">
        <w:tc>
          <w:p w14:paraId="29A65A6C">
            <w:r>
              <w:rPr>
                <w:rFonts w:hint="eastAsia"/>
              </w:rPr>
              <w:t>综合节点到数据库</w:t>
            </w:r>
          </w:p>
        </w:tc>
        <w:tc>
          <w:p w14:paraId="6EC18D47">
            <w:r>
              <w:rPr>
                <w:rFonts w:hint="eastAsia"/>
              </w:rPr>
              <w:t>千兆网络以上</w:t>
            </w:r>
          </w:p>
        </w:tc>
        <w:tc>
          <w:p w14:paraId="1AB4DB91">
            <w:r>
              <w:rPr>
                <w:rFonts w:hint="eastAsia"/>
              </w:rPr>
              <w:t>满足数据库代理与健康检查</w:t>
            </w:r>
          </w:p>
        </w:tc>
      </w:tr>
      <w:tr w14:paraId="423290BA">
        <w:tc>
          <w:p w14:paraId="77CCDED2">
            <w:r>
              <w:rPr>
                <w:rFonts w:hint="eastAsia"/>
              </w:rPr>
              <w:t>主备复制链路</w:t>
            </w:r>
          </w:p>
        </w:tc>
        <w:tc>
          <w:p w14:paraId="5FCE8961">
            <w:r>
              <w:rPr>
                <w:rFonts w:hint="eastAsia"/>
              </w:rPr>
              <w:t>不低于</w:t>
            </w:r>
            <w:r>
              <w:t xml:space="preserve"> 10 Gbps</w:t>
            </w:r>
          </w:p>
        </w:tc>
        <w:tc>
          <w:p w14:paraId="77C31CF8">
            <w:r>
              <w:rPr>
                <w:rFonts w:hint="eastAsia"/>
              </w:rPr>
              <w:t>支撑同步复制</w:t>
            </w:r>
          </w:p>
        </w:tc>
      </w:tr>
      <w:tr w14:paraId="3D074AF5">
        <w:tc>
          <w:p w14:paraId="47385037">
            <w:r>
              <w:rPr>
                <w:rFonts w:hint="eastAsia"/>
              </w:rPr>
              <w:t>同城主备时延</w:t>
            </w:r>
          </w:p>
        </w:tc>
        <w:tc>
          <w:p w14:paraId="147300EC">
            <w:r>
              <w:rPr>
                <w:rFonts w:hint="eastAsia"/>
              </w:rPr>
              <w:t>建议低于</w:t>
            </w:r>
            <w:r>
              <w:t xml:space="preserve"> 2 ms</w:t>
            </w:r>
          </w:p>
        </w:tc>
        <w:tc>
          <w:p w14:paraId="4C2522E1">
            <w:r>
              <w:rPr>
                <w:rFonts w:hint="eastAsia"/>
              </w:rPr>
              <w:t>支撑稳定同步复制</w:t>
            </w:r>
          </w:p>
        </w:tc>
      </w:tr>
      <w:tr w14:paraId="264D6097">
        <w:tc>
          <w:p w14:paraId="6EA68157">
            <w:r>
              <w:rPr>
                <w:rFonts w:hint="eastAsia"/>
              </w:rPr>
              <w:t>数据库到备份存储</w:t>
            </w:r>
          </w:p>
        </w:tc>
        <w:tc>
          <w:p w14:paraId="04374E8F">
            <w:r>
              <w:rPr>
                <w:rFonts w:hint="eastAsia"/>
              </w:rPr>
              <w:t>千兆网络以上</w:t>
            </w:r>
          </w:p>
        </w:tc>
        <w:tc>
          <w:p w14:paraId="233779F5">
            <w:r>
              <w:rPr>
                <w:rFonts w:hint="eastAsia"/>
              </w:rPr>
              <w:t>满足基础备份与</w:t>
            </w:r>
            <w:r>
              <w:t xml:space="preserve"> WAL </w:t>
            </w:r>
            <w:r>
              <w:rPr>
                <w:rFonts w:hint="eastAsia"/>
              </w:rPr>
              <w:t>归档传输</w:t>
            </w:r>
          </w:p>
        </w:tc>
      </w:tr>
      <w:tr w14:paraId="47F17CBD">
        <w:tc>
          <w:p w14:paraId="7CE9A597">
            <w:r>
              <w:rPr>
                <w:rFonts w:hint="eastAsia"/>
              </w:rPr>
              <w:t>综合节点到备份存储</w:t>
            </w:r>
          </w:p>
        </w:tc>
        <w:tc>
          <w:p w14:paraId="71597635">
            <w:r>
              <w:rPr>
                <w:rFonts w:hint="eastAsia"/>
              </w:rPr>
              <w:t>千兆网络以上</w:t>
            </w:r>
          </w:p>
        </w:tc>
        <w:tc>
          <w:p w14:paraId="1DCA8356">
            <w:r>
              <w:rPr>
                <w:rFonts w:hint="eastAsia"/>
              </w:rPr>
              <w:t>满足文件数据备份与归档传输</w:t>
            </w:r>
          </w:p>
        </w:tc>
      </w:tr>
      <w:bookmarkEnd w:id="24"/>
    </w:tbl>
    <w:p w14:paraId="2DC326D2">
      <w:pPr>
        <w:pStyle w:val="4"/>
      </w:pPr>
      <w:bookmarkStart w:id="25" w:name="网络开通要求"/>
      <w:r>
        <w:t xml:space="preserve">3. </w:t>
      </w:r>
      <w:r>
        <w:rPr>
          <w:rFonts w:hint="eastAsia"/>
        </w:rPr>
        <w:t>网络开通要求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19A4374B">
        <w:trPr>
          <w:tblHeader/>
        </w:trPr>
        <w:tc>
          <w:p w14:paraId="61B2A30F">
            <w:r>
              <w:rPr>
                <w:rFonts w:hint="eastAsia"/>
              </w:rPr>
              <w:t>类别</w:t>
            </w:r>
          </w:p>
        </w:tc>
        <w:tc>
          <w:p w14:paraId="7675A515">
            <w:r>
              <w:rPr>
                <w:rFonts w:hint="eastAsia"/>
              </w:rPr>
              <w:t>开通要求</w:t>
            </w:r>
          </w:p>
        </w:tc>
        <w:tc>
          <w:p w14:paraId="36B04788">
            <w:r>
              <w:rPr>
                <w:rFonts w:hint="eastAsia"/>
              </w:rPr>
              <w:t>说明</w:t>
            </w:r>
          </w:p>
        </w:tc>
      </w:tr>
      <w:tr w14:paraId="5314E397">
        <w:tc>
          <w:p w14:paraId="260F89E0">
            <w:r>
              <w:rPr>
                <w:rFonts w:hint="eastAsia"/>
              </w:rPr>
              <w:t>对外访问</w:t>
            </w:r>
          </w:p>
        </w:tc>
        <w:tc>
          <w:p w14:paraId="1E1ED8C7">
            <w:r>
              <w:rPr>
                <w:rFonts w:hint="eastAsia"/>
              </w:rPr>
              <w:t>开通</w:t>
            </w:r>
            <w:r>
              <w:t xml:space="preserve"> 443 </w:t>
            </w:r>
            <w:r>
              <w:rPr>
                <w:rFonts w:hint="eastAsia"/>
              </w:rPr>
              <w:t>端口</w:t>
            </w:r>
          </w:p>
        </w:tc>
        <w:tc>
          <w:p w14:paraId="1747F723">
            <w:r>
              <w:rPr>
                <w:rFonts w:hint="eastAsia"/>
              </w:rPr>
              <w:t>提供统一</w:t>
            </w:r>
            <w:r>
              <w:t xml:space="preserve"> HTTPS </w:t>
            </w:r>
            <w:r>
              <w:rPr>
                <w:rFonts w:hint="eastAsia"/>
              </w:rPr>
              <w:t>入口</w:t>
            </w:r>
          </w:p>
        </w:tc>
      </w:tr>
      <w:tr w14:paraId="1DA86131">
        <w:tc>
          <w:p w14:paraId="243F222A">
            <w:r>
              <w:rPr>
                <w:rFonts w:hint="eastAsia"/>
              </w:rPr>
              <w:t>公网入口薄转发访问内网</w:t>
            </w:r>
            <w:r>
              <w:t xml:space="preserve"> Nginx</w:t>
            </w:r>
          </w:p>
        </w:tc>
        <w:tc>
          <w:p w14:paraId="5BB939B6">
            <w:r>
              <w:rPr>
                <w:rFonts w:hint="eastAsia"/>
              </w:rPr>
              <w:t>开通公网入口到内网</w:t>
            </w:r>
            <w:r>
              <w:t xml:space="preserve"> Nginx </w:t>
            </w:r>
            <w:r>
              <w:rPr>
                <w:rFonts w:hint="eastAsia"/>
              </w:rPr>
              <w:t>的转发端口</w:t>
            </w:r>
          </w:p>
        </w:tc>
        <w:tc>
          <w:p w14:paraId="18EB8091">
            <w:r>
              <w:rPr>
                <w:rFonts w:hint="eastAsia"/>
              </w:rPr>
              <w:t>仅授权链路访问</w:t>
            </w:r>
          </w:p>
        </w:tc>
      </w:tr>
      <w:tr w14:paraId="069580C6">
        <w:tc>
          <w:p w14:paraId="0FA98FA4">
            <w:r>
              <w:rPr>
                <w:rFonts w:hint="eastAsia"/>
              </w:rPr>
              <w:t>内网</w:t>
            </w:r>
            <w:r>
              <w:t xml:space="preserve"> Nginx </w:t>
            </w:r>
            <w:r>
              <w:rPr>
                <w:rFonts w:hint="eastAsia"/>
              </w:rPr>
              <w:t>访问应用</w:t>
            </w:r>
          </w:p>
        </w:tc>
        <w:tc>
          <w:p w14:paraId="2B510507">
            <w:r>
              <w:rPr>
                <w:rFonts w:hint="eastAsia"/>
              </w:rPr>
              <w:t>开通内网</w:t>
            </w:r>
            <w:r>
              <w:t xml:space="preserve"> Nginx </w:t>
            </w:r>
            <w:r>
              <w:rPr>
                <w:rFonts w:hint="eastAsia"/>
              </w:rPr>
              <w:t>到业务应用的</w:t>
            </w:r>
            <w:r>
              <w:t xml:space="preserve"> API / </w:t>
            </w:r>
            <w:r>
              <w:rPr>
                <w:rFonts w:hint="eastAsia"/>
              </w:rPr>
              <w:t>网关端口</w:t>
            </w:r>
          </w:p>
        </w:tc>
        <w:tc>
          <w:p w14:paraId="528F9067">
            <w:r>
              <w:rPr>
                <w:rFonts w:hint="eastAsia"/>
              </w:rPr>
              <w:t>仅内网访问</w:t>
            </w:r>
          </w:p>
        </w:tc>
      </w:tr>
      <w:tr w14:paraId="25FB3C89">
        <w:tc>
          <w:p w14:paraId="09815F88">
            <w:r>
              <w:rPr>
                <w:rFonts w:hint="eastAsia"/>
              </w:rPr>
              <w:t>应用访问综合节点</w:t>
            </w:r>
          </w:p>
        </w:tc>
        <w:tc>
          <w:p w14:paraId="589AF466">
            <w:r>
              <w:rPr>
                <w:rFonts w:hint="eastAsia"/>
              </w:rPr>
              <w:t>开通</w:t>
            </w:r>
            <w:r>
              <w:t xml:space="preserve"> Redis、Nacos、MinIO、PgBouncer </w:t>
            </w:r>
            <w:r>
              <w:rPr>
                <w:rFonts w:hint="eastAsia"/>
              </w:rPr>
              <w:t>相关端口</w:t>
            </w:r>
          </w:p>
        </w:tc>
        <w:tc>
          <w:p w14:paraId="1DDDC98D">
            <w:r>
              <w:rPr>
                <w:rFonts w:hint="eastAsia"/>
              </w:rPr>
              <w:t>仅应用区访问</w:t>
            </w:r>
          </w:p>
        </w:tc>
      </w:tr>
      <w:tr w14:paraId="42B1A695">
        <w:tc>
          <w:p w14:paraId="6F80C4B7">
            <w:r>
              <w:rPr>
                <w:rFonts w:hint="eastAsia"/>
              </w:rPr>
              <w:t>业务应用访问</w:t>
            </w:r>
            <w:r>
              <w:t xml:space="preserve"> SFTP/FTP </w:t>
            </w:r>
            <w:r>
              <w:rPr>
                <w:rFonts w:hint="eastAsia"/>
              </w:rPr>
              <w:t>服务器</w:t>
            </w:r>
          </w:p>
        </w:tc>
        <w:tc>
          <w:p w14:paraId="198ADEEB">
            <w:r>
              <w:rPr>
                <w:rFonts w:hint="eastAsia"/>
              </w:rPr>
              <w:t>开通</w:t>
            </w:r>
            <w:r>
              <w:t xml:space="preserve"> SFTP/FTP </w:t>
            </w:r>
            <w:r>
              <w:rPr>
                <w:rFonts w:hint="eastAsia"/>
              </w:rPr>
              <w:t>相关端口</w:t>
            </w:r>
          </w:p>
        </w:tc>
        <w:tc>
          <w:p w14:paraId="57FADAD6">
            <w:r>
              <w:rPr>
                <w:rFonts w:hint="eastAsia"/>
              </w:rPr>
              <w:t>用于银行文件送盘、回盘、对账交换</w:t>
            </w:r>
          </w:p>
        </w:tc>
      </w:tr>
      <w:tr w14:paraId="6943DF00">
        <w:tc>
          <w:p w14:paraId="25830A9E">
            <w:r>
              <w:rPr>
                <w:rFonts w:hint="eastAsia"/>
              </w:rPr>
              <w:t>银行链路访问</w:t>
            </w:r>
            <w:r>
              <w:t xml:space="preserve"> SFTP/FTP </w:t>
            </w:r>
            <w:r>
              <w:rPr>
                <w:rFonts w:hint="eastAsia"/>
              </w:rPr>
              <w:t>服务器</w:t>
            </w:r>
          </w:p>
        </w:tc>
        <w:tc>
          <w:p w14:paraId="237793C9">
            <w:r>
              <w:rPr>
                <w:rFonts w:hint="eastAsia"/>
              </w:rPr>
              <w:t>开通</w:t>
            </w:r>
            <w:r>
              <w:t xml:space="preserve"> FTP/SFTP </w:t>
            </w:r>
            <w:r>
              <w:rPr>
                <w:rFonts w:hint="eastAsia"/>
              </w:rPr>
              <w:t>服务端口</w:t>
            </w:r>
          </w:p>
        </w:tc>
        <w:tc>
          <w:p w14:paraId="700AAAD8">
            <w:r>
              <w:rPr>
                <w:rFonts w:hint="eastAsia"/>
              </w:rPr>
              <w:t>仅银行授权链路访问</w:t>
            </w:r>
          </w:p>
        </w:tc>
      </w:tr>
      <w:tr w14:paraId="5D47A89D">
        <w:tc>
          <w:p w14:paraId="1881F4F6">
            <w:r>
              <w:rPr>
                <w:rFonts w:hint="eastAsia"/>
              </w:rPr>
              <w:t>综合节点访问数据库</w:t>
            </w:r>
          </w:p>
        </w:tc>
        <w:tc>
          <w:p w14:paraId="2331F449">
            <w:r>
              <w:rPr>
                <w:rFonts w:hint="eastAsia"/>
              </w:rPr>
              <w:t>开通</w:t>
            </w:r>
            <w:r>
              <w:t xml:space="preserve"> PostgreSQL 5432 </w:t>
            </w:r>
            <w:r>
              <w:rPr>
                <w:rFonts w:hint="eastAsia"/>
              </w:rPr>
              <w:t>及健康检查相关端口</w:t>
            </w:r>
          </w:p>
        </w:tc>
        <w:tc>
          <w:p w14:paraId="02791CFF">
            <w:r>
              <w:rPr>
                <w:rFonts w:hint="eastAsia"/>
              </w:rPr>
              <w:t>仅综合节点访问</w:t>
            </w:r>
          </w:p>
        </w:tc>
      </w:tr>
      <w:tr w14:paraId="16C4AE4D">
        <w:tc>
          <w:p w14:paraId="138253D1">
            <w:r>
              <w:rPr>
                <w:rFonts w:hint="eastAsia"/>
              </w:rPr>
              <w:t>运维访问</w:t>
            </w:r>
          </w:p>
        </w:tc>
        <w:tc>
          <w:p w14:paraId="42F78D25">
            <w:r>
              <w:rPr>
                <w:rFonts w:hint="eastAsia"/>
              </w:rPr>
              <w:t>开通运维区到各层必要管理端口</w:t>
            </w:r>
          </w:p>
        </w:tc>
        <w:tc>
          <w:p w14:paraId="794BD936">
            <w:r>
              <w:rPr>
                <w:rFonts w:hint="eastAsia"/>
              </w:rPr>
              <w:t>用于巡检、发布、恢复、切换</w:t>
            </w:r>
          </w:p>
        </w:tc>
      </w:tr>
      <w:bookmarkEnd w:id="22"/>
      <w:bookmarkEnd w:id="25"/>
    </w:tbl>
    <w:p w14:paraId="45D5D563">
      <w:pPr>
        <w:pStyle w:val="3"/>
      </w:pPr>
      <w:bookmarkStart w:id="26" w:name="网络开通清单"/>
      <w:r>
        <w:rPr>
          <w:rFonts w:hint="eastAsia"/>
        </w:rPr>
        <w:t>网络开通清单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914"/>
        <w:gridCol w:w="1914"/>
        <w:gridCol w:w="1914"/>
        <w:gridCol w:w="1914"/>
      </w:tblGrid>
      <w:tr w14:paraId="1B68A306">
        <w:trPr>
          <w:tblHeader/>
        </w:trPr>
        <w:tc>
          <w:p w14:paraId="6FE6B3E2">
            <w:r>
              <w:rPr>
                <w:rFonts w:hint="eastAsia"/>
              </w:rPr>
              <w:t>源区域/源主机</w:t>
            </w:r>
          </w:p>
        </w:tc>
        <w:tc>
          <w:p w14:paraId="482C6F71">
            <w:r>
              <w:rPr>
                <w:rFonts w:hint="eastAsia"/>
              </w:rPr>
              <w:t>目标区域/目标主机</w:t>
            </w:r>
          </w:p>
        </w:tc>
        <w:tc>
          <w:p w14:paraId="727BE166">
            <w:r>
              <w:rPr>
                <w:rFonts w:hint="eastAsia"/>
              </w:rPr>
              <w:t>协议/端口</w:t>
            </w:r>
          </w:p>
        </w:tc>
        <w:tc>
          <w:p w14:paraId="74ED2335">
            <w:r>
              <w:rPr>
                <w:rFonts w:hint="eastAsia"/>
              </w:rPr>
              <w:t>用途</w:t>
            </w:r>
          </w:p>
        </w:tc>
        <w:tc>
          <w:p w14:paraId="0CA5F2AE">
            <w:r>
              <w:rPr>
                <w:rFonts w:hint="eastAsia"/>
              </w:rPr>
              <w:t>开通要求</w:t>
            </w:r>
          </w:p>
        </w:tc>
      </w:tr>
      <w:tr w14:paraId="1143C6A0">
        <w:tc>
          <w:p w14:paraId="3B947CA2">
            <w:r>
              <w:rPr>
                <w:rFonts w:hint="eastAsia"/>
              </w:rPr>
              <w:t>外部用户</w:t>
            </w:r>
          </w:p>
        </w:tc>
        <w:tc>
          <w:p w14:paraId="24CA7669">
            <w:r>
              <w:rPr>
                <w:rFonts w:hint="eastAsia"/>
              </w:rPr>
              <w:t>公网入口薄转发</w:t>
            </w:r>
          </w:p>
        </w:tc>
        <w:tc>
          <w:p w14:paraId="6F4AFE77">
            <w:r>
              <w:t>HTTPS/443</w:t>
            </w:r>
          </w:p>
        </w:tc>
        <w:tc>
          <w:p w14:paraId="0932D6EE">
            <w:r>
              <w:rPr>
                <w:rFonts w:hint="eastAsia"/>
              </w:rPr>
              <w:t>页面访问、接口入口</w:t>
            </w:r>
          </w:p>
        </w:tc>
        <w:tc>
          <w:p w14:paraId="2CC4D016">
            <w:r>
              <w:rPr>
                <w:rFonts w:hint="eastAsia"/>
              </w:rPr>
              <w:t>对外开放</w:t>
            </w:r>
          </w:p>
        </w:tc>
      </w:tr>
      <w:tr w14:paraId="2CE736FE">
        <w:tc>
          <w:p w14:paraId="6FCCBF82">
            <w:r>
              <w:rPr>
                <w:rFonts w:hint="eastAsia"/>
              </w:rPr>
              <w:t>公网入口薄转发</w:t>
            </w:r>
          </w:p>
        </w:tc>
        <w:tc>
          <w:p w14:paraId="65CFE2C1">
            <w:r>
              <w:rPr>
                <w:rFonts w:hint="eastAsia"/>
              </w:rPr>
              <w:t>内网</w:t>
            </w:r>
            <w:r>
              <w:t xml:space="preserve"> Nginx </w:t>
            </w:r>
            <w:r>
              <w:rPr>
                <w:rFonts w:hint="eastAsia"/>
              </w:rPr>
              <w:t>入口节点</w:t>
            </w:r>
          </w:p>
        </w:tc>
        <w:tc>
          <w:p w14:paraId="2E0977BD">
            <w:r>
              <w:rPr>
                <w:rFonts w:hint="eastAsia"/>
              </w:rPr>
              <w:t>HTTP/HTTPS/转发端口</w:t>
            </w:r>
          </w:p>
        </w:tc>
        <w:tc>
          <w:p w14:paraId="77F03384">
            <w:r>
              <w:rPr>
                <w:rFonts w:hint="eastAsia"/>
              </w:rPr>
              <w:t>公网访问转入内网入口</w:t>
            </w:r>
          </w:p>
        </w:tc>
        <w:tc>
          <w:p w14:paraId="6776C7BA">
            <w:r>
              <w:rPr>
                <w:rFonts w:hint="eastAsia"/>
              </w:rPr>
              <w:t>授权链路放通</w:t>
            </w:r>
          </w:p>
        </w:tc>
      </w:tr>
      <w:tr w14:paraId="785C2773">
        <w:tc>
          <w:p w14:paraId="18F4FECF">
            <w:r>
              <w:rPr>
                <w:rFonts w:hint="eastAsia"/>
              </w:rPr>
              <w:t>内网</w:t>
            </w:r>
            <w:r>
              <w:t xml:space="preserve"> Nginx </w:t>
            </w:r>
            <w:r>
              <w:rPr>
                <w:rFonts w:hint="eastAsia"/>
              </w:rPr>
              <w:t>入口节点</w:t>
            </w:r>
          </w:p>
        </w:tc>
        <w:tc>
          <w:p w14:paraId="3EFE0FE4">
            <w:r>
              <w:rPr>
                <w:rFonts w:hint="eastAsia"/>
              </w:rPr>
              <w:t>业务应用节点（主）</w:t>
            </w:r>
          </w:p>
        </w:tc>
        <w:tc>
          <w:p w14:paraId="265BEE00">
            <w:r>
              <w:rPr>
                <w:rFonts w:hint="eastAsia"/>
              </w:rPr>
              <w:t>HTTP/HTTPS/网关端口</w:t>
            </w:r>
          </w:p>
        </w:tc>
        <w:tc>
          <w:p w14:paraId="5C294A78">
            <w:r>
              <w:rPr>
                <w:rFonts w:hint="eastAsia"/>
              </w:rPr>
              <w:t>内网</w:t>
            </w:r>
            <w:r>
              <w:t xml:space="preserve"> API </w:t>
            </w:r>
            <w:r>
              <w:rPr>
                <w:rFonts w:hint="eastAsia"/>
              </w:rPr>
              <w:t>转发与微服务接入</w:t>
            </w:r>
          </w:p>
        </w:tc>
        <w:tc>
          <w:p w14:paraId="787C135E">
            <w:r>
              <w:rPr>
                <w:rFonts w:hint="eastAsia"/>
              </w:rPr>
              <w:t>内网放通</w:t>
            </w:r>
          </w:p>
        </w:tc>
      </w:tr>
      <w:tr w14:paraId="65C916EB">
        <w:tc>
          <w:p w14:paraId="4C28A7DE">
            <w:r>
              <w:rPr>
                <w:rFonts w:hint="eastAsia"/>
              </w:rPr>
              <w:t>业务应用节点（主）</w:t>
            </w:r>
          </w:p>
        </w:tc>
        <w:tc>
          <w:p w14:paraId="37565227">
            <w:r>
              <w:rPr>
                <w:rFonts w:hint="eastAsia"/>
              </w:rPr>
              <w:t>综合节点</w:t>
            </w:r>
          </w:p>
        </w:tc>
        <w:tc>
          <w:p w14:paraId="661B6A52">
            <w:r>
              <w:t>TCP/6379</w:t>
            </w:r>
          </w:p>
        </w:tc>
        <w:tc>
          <w:p w14:paraId="68B35C43">
            <w:r>
              <w:t xml:space="preserve">Redis </w:t>
            </w:r>
            <w:r>
              <w:rPr>
                <w:rFonts w:hint="eastAsia"/>
              </w:rPr>
              <w:t>访问</w:t>
            </w:r>
          </w:p>
        </w:tc>
        <w:tc>
          <w:p w14:paraId="2F2ED59A">
            <w:r>
              <w:rPr>
                <w:rFonts w:hint="eastAsia"/>
              </w:rPr>
              <w:t>内网放通</w:t>
            </w:r>
          </w:p>
        </w:tc>
      </w:tr>
      <w:tr w14:paraId="1EB5F62D">
        <w:tc>
          <w:p w14:paraId="2DD42479">
            <w:r>
              <w:rPr>
                <w:rFonts w:hint="eastAsia"/>
              </w:rPr>
              <w:t>业务应用节点（主）</w:t>
            </w:r>
          </w:p>
        </w:tc>
        <w:tc>
          <w:p w14:paraId="073C0D2D">
            <w:r>
              <w:rPr>
                <w:rFonts w:hint="eastAsia"/>
              </w:rPr>
              <w:t>综合节点</w:t>
            </w:r>
          </w:p>
        </w:tc>
        <w:tc>
          <w:p w14:paraId="3C90D86C">
            <w:r>
              <w:t>TCP/8848</w:t>
            </w:r>
          </w:p>
        </w:tc>
        <w:tc>
          <w:p w14:paraId="49A25CB8">
            <w:r>
              <w:t xml:space="preserve">Nacos </w:t>
            </w:r>
            <w:r>
              <w:rPr>
                <w:rFonts w:hint="eastAsia"/>
              </w:rPr>
              <w:t>访问</w:t>
            </w:r>
          </w:p>
        </w:tc>
        <w:tc>
          <w:p w14:paraId="37BF6228">
            <w:r>
              <w:rPr>
                <w:rFonts w:hint="eastAsia"/>
              </w:rPr>
              <w:t>内网放通</w:t>
            </w:r>
          </w:p>
        </w:tc>
      </w:tr>
      <w:tr w14:paraId="6D244B44">
        <w:tc>
          <w:p w14:paraId="3E23DE1B">
            <w:r>
              <w:rPr>
                <w:rFonts w:hint="eastAsia"/>
              </w:rPr>
              <w:t>业务应用节点（主）</w:t>
            </w:r>
          </w:p>
        </w:tc>
        <w:tc>
          <w:p w14:paraId="383FFE3B">
            <w:r>
              <w:rPr>
                <w:rFonts w:hint="eastAsia"/>
              </w:rPr>
              <w:t>综合节点</w:t>
            </w:r>
          </w:p>
        </w:tc>
        <w:tc>
          <w:p w14:paraId="44B47277">
            <w:r>
              <w:t>TCP/6432</w:t>
            </w:r>
          </w:p>
        </w:tc>
        <w:tc>
          <w:p w14:paraId="5839719C">
            <w:r>
              <w:t xml:space="preserve">PgBouncer </w:t>
            </w:r>
            <w:r>
              <w:rPr>
                <w:rFonts w:hint="eastAsia"/>
              </w:rPr>
              <w:t>访问</w:t>
            </w:r>
          </w:p>
        </w:tc>
        <w:tc>
          <w:p w14:paraId="0C7CF0B5">
            <w:r>
              <w:rPr>
                <w:rFonts w:hint="eastAsia"/>
              </w:rPr>
              <w:t>内网放通</w:t>
            </w:r>
          </w:p>
        </w:tc>
      </w:tr>
      <w:tr w14:paraId="56EEE22B">
        <w:tc>
          <w:p w14:paraId="012FB317">
            <w:r>
              <w:rPr>
                <w:rFonts w:hint="eastAsia"/>
              </w:rPr>
              <w:t>业务应用节点（主）</w:t>
            </w:r>
          </w:p>
        </w:tc>
        <w:tc>
          <w:p w14:paraId="7EC98DE6">
            <w:r>
              <w:rPr>
                <w:rFonts w:hint="eastAsia"/>
              </w:rPr>
              <w:t>综合节点</w:t>
            </w:r>
          </w:p>
        </w:tc>
        <w:tc>
          <w:p w14:paraId="5A3CE263">
            <w:r>
              <w:t>TCP/9000,9001</w:t>
            </w:r>
          </w:p>
        </w:tc>
        <w:tc>
          <w:p w14:paraId="5D92B330">
            <w:r>
              <w:t xml:space="preserve">MinIO </w:t>
            </w:r>
            <w:r>
              <w:rPr>
                <w:rFonts w:hint="eastAsia"/>
              </w:rPr>
              <w:t>文件访问</w:t>
            </w:r>
          </w:p>
        </w:tc>
        <w:tc>
          <w:p w14:paraId="2B76104D">
            <w:r>
              <w:rPr>
                <w:rFonts w:hint="eastAsia"/>
              </w:rPr>
              <w:t>内网放通</w:t>
            </w:r>
          </w:p>
        </w:tc>
      </w:tr>
      <w:tr w14:paraId="3FAC04C0">
        <w:tc>
          <w:p w14:paraId="24D4A361">
            <w:r>
              <w:rPr>
                <w:rFonts w:hint="eastAsia"/>
              </w:rPr>
              <w:t>业务应用节点（主）</w:t>
            </w:r>
          </w:p>
        </w:tc>
        <w:tc>
          <w:p w14:paraId="64F275F1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26D5A33E">
            <w:r>
              <w:t xml:space="preserve">TCP/21 </w:t>
            </w:r>
            <w:r>
              <w:rPr>
                <w:rFonts w:hint="eastAsia"/>
              </w:rPr>
              <w:t>或</w:t>
            </w:r>
            <w:r>
              <w:t xml:space="preserve"> 22</w:t>
            </w:r>
          </w:p>
        </w:tc>
        <w:tc>
          <w:p w14:paraId="03179491">
            <w:r>
              <w:rPr>
                <w:rFonts w:hint="eastAsia"/>
              </w:rPr>
              <w:t>银行送盘、回盘、对账文件交换</w:t>
            </w:r>
          </w:p>
        </w:tc>
        <w:tc>
          <w:p w14:paraId="13CD7E39">
            <w:r>
              <w:rPr>
                <w:rFonts w:hint="eastAsia"/>
              </w:rPr>
              <w:t>内网放通</w:t>
            </w:r>
          </w:p>
        </w:tc>
      </w:tr>
      <w:tr w14:paraId="20EB9A33">
        <w:tc>
          <w:p w14:paraId="558E93D8">
            <w:r>
              <w:rPr>
                <w:rFonts w:hint="eastAsia"/>
              </w:rPr>
              <w:t>银行专线或授权外联链路</w:t>
            </w:r>
          </w:p>
        </w:tc>
        <w:tc>
          <w:p w14:paraId="56085D81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5F3C26F2">
            <w:r>
              <w:t xml:space="preserve">TCP/21 </w:t>
            </w:r>
            <w:r>
              <w:rPr>
                <w:rFonts w:hint="eastAsia"/>
              </w:rPr>
              <w:t>或</w:t>
            </w:r>
            <w:r>
              <w:t xml:space="preserve"> 22</w:t>
            </w:r>
          </w:p>
        </w:tc>
        <w:tc>
          <w:p w14:paraId="1C2D13AA">
            <w:r>
              <w:rPr>
                <w:rFonts w:hint="eastAsia"/>
              </w:rPr>
              <w:t>银行文件目录投递与回收</w:t>
            </w:r>
          </w:p>
        </w:tc>
        <w:tc>
          <w:p w14:paraId="3EF099C5">
            <w:r>
              <w:rPr>
                <w:rFonts w:hint="eastAsia"/>
              </w:rPr>
              <w:t>仅授权链路放通</w:t>
            </w:r>
          </w:p>
        </w:tc>
      </w:tr>
      <w:tr w14:paraId="3A33B321">
        <w:tc>
          <w:p w14:paraId="1273A883">
            <w:r>
              <w:rPr>
                <w:rFonts w:hint="eastAsia"/>
              </w:rPr>
              <w:t>综合节点</w:t>
            </w:r>
          </w:p>
        </w:tc>
        <w:tc>
          <w:p w14:paraId="03D0B7D9">
            <w:r>
              <w:t xml:space="preserve">PostgreSQL </w:t>
            </w:r>
            <w:r>
              <w:rPr>
                <w:rFonts w:hint="eastAsia"/>
              </w:rPr>
              <w:t>主库服务器</w:t>
            </w:r>
          </w:p>
        </w:tc>
        <w:tc>
          <w:p w14:paraId="5ABAB918">
            <w:r>
              <w:t>TCP/5432</w:t>
            </w:r>
          </w:p>
        </w:tc>
        <w:tc>
          <w:p w14:paraId="22E2DC0C">
            <w:r>
              <w:rPr>
                <w:rFonts w:hint="eastAsia"/>
              </w:rPr>
              <w:t>数据库代理与控制访问</w:t>
            </w:r>
          </w:p>
        </w:tc>
        <w:tc>
          <w:p w14:paraId="62810D43">
            <w:r>
              <w:rPr>
                <w:rFonts w:hint="eastAsia"/>
              </w:rPr>
              <w:t>内网放通</w:t>
            </w:r>
          </w:p>
        </w:tc>
      </w:tr>
      <w:tr w14:paraId="2B582515">
        <w:tc>
          <w:p w14:paraId="0142213D">
            <w:r>
              <w:rPr>
                <w:rFonts w:hint="eastAsia"/>
              </w:rPr>
              <w:t>综合节点</w:t>
            </w:r>
          </w:p>
        </w:tc>
        <w:tc>
          <w:p w14:paraId="2515EA83">
            <w:r>
              <w:t xml:space="preserve">PostgreSQL </w:t>
            </w:r>
            <w:r>
              <w:rPr>
                <w:rFonts w:hint="eastAsia"/>
              </w:rPr>
              <w:t>热备服务器</w:t>
            </w:r>
          </w:p>
        </w:tc>
        <w:tc>
          <w:p w14:paraId="499911E4">
            <w:r>
              <w:t>TCP/5432</w:t>
            </w:r>
          </w:p>
        </w:tc>
        <w:tc>
          <w:p w14:paraId="30939B9C">
            <w:r>
              <w:rPr>
                <w:rFonts w:hint="eastAsia"/>
              </w:rPr>
              <w:t>数据库代理、状态探测与控制访问</w:t>
            </w:r>
          </w:p>
        </w:tc>
        <w:tc>
          <w:p w14:paraId="55F81CE8">
            <w:r>
              <w:rPr>
                <w:rFonts w:hint="eastAsia"/>
              </w:rPr>
              <w:t>内网放通</w:t>
            </w:r>
          </w:p>
        </w:tc>
      </w:tr>
      <w:tr w14:paraId="0A81F87A">
        <w:tc>
          <w:p w14:paraId="005C1C94">
            <w:r>
              <w:t xml:space="preserve">PostgreSQL </w:t>
            </w:r>
            <w:r>
              <w:rPr>
                <w:rFonts w:hint="eastAsia"/>
              </w:rPr>
              <w:t>主库服务器</w:t>
            </w:r>
          </w:p>
        </w:tc>
        <w:tc>
          <w:p w14:paraId="50FA002E">
            <w:r>
              <w:t xml:space="preserve">PostgreSQL </w:t>
            </w:r>
            <w:r>
              <w:rPr>
                <w:rFonts w:hint="eastAsia"/>
              </w:rPr>
              <w:t>热备服务器</w:t>
            </w:r>
          </w:p>
        </w:tc>
        <w:tc>
          <w:p w14:paraId="1AE625E1">
            <w:r>
              <w:t>TCP/5432</w:t>
            </w:r>
          </w:p>
        </w:tc>
        <w:tc>
          <w:p w14:paraId="6FDD2098">
            <w:r>
              <w:rPr>
                <w:rFonts w:hint="eastAsia"/>
              </w:rPr>
              <w:t>主备同步复制</w:t>
            </w:r>
          </w:p>
        </w:tc>
        <w:tc>
          <w:p w14:paraId="23E0625C">
            <w:r>
              <w:rPr>
                <w:rFonts w:hint="eastAsia"/>
              </w:rPr>
              <w:t>高带宽、低时延专用链路</w:t>
            </w:r>
          </w:p>
        </w:tc>
      </w:tr>
      <w:tr w14:paraId="1737A784">
        <w:tc>
          <w:p w14:paraId="7C994DFF">
            <w:r>
              <w:t xml:space="preserve">PostgreSQL </w:t>
            </w:r>
            <w:r>
              <w:rPr>
                <w:rFonts w:hint="eastAsia"/>
              </w:rPr>
              <w:t>主库/热备库</w:t>
            </w:r>
          </w:p>
        </w:tc>
        <w:tc>
          <w:p w14:paraId="1FF2660B">
            <w:r>
              <w:rPr>
                <w:rFonts w:hint="eastAsia"/>
              </w:rPr>
              <w:t>备份归档存储</w:t>
            </w:r>
          </w:p>
        </w:tc>
        <w:tc>
          <w:p w14:paraId="6792AC65">
            <w:r>
              <w:rPr>
                <w:rFonts w:hint="eastAsia"/>
              </w:rPr>
              <w:t>TCP/存储协议端口</w:t>
            </w:r>
          </w:p>
        </w:tc>
        <w:tc>
          <w:p w14:paraId="690FD964">
            <w:r>
              <w:rPr>
                <w:rFonts w:hint="eastAsia"/>
              </w:rPr>
              <w:t>基础备份与</w:t>
            </w:r>
            <w:r>
              <w:t xml:space="preserve"> WAL </w:t>
            </w:r>
            <w:r>
              <w:rPr>
                <w:rFonts w:hint="eastAsia"/>
              </w:rPr>
              <w:t>归档</w:t>
            </w:r>
          </w:p>
        </w:tc>
        <w:tc>
          <w:p w14:paraId="658F8F58">
            <w:r>
              <w:rPr>
                <w:rFonts w:hint="eastAsia"/>
              </w:rPr>
              <w:t>内网放通</w:t>
            </w:r>
          </w:p>
        </w:tc>
      </w:tr>
      <w:tr w14:paraId="139BA447">
        <w:tc>
          <w:p w14:paraId="2D805BD9">
            <w:r>
              <w:rPr>
                <w:rFonts w:hint="eastAsia"/>
              </w:rPr>
              <w:t>综合节点</w:t>
            </w:r>
          </w:p>
        </w:tc>
        <w:tc>
          <w:p w14:paraId="55DF010B">
            <w:r>
              <w:rPr>
                <w:rFonts w:hint="eastAsia"/>
              </w:rPr>
              <w:t>备份归档存储</w:t>
            </w:r>
          </w:p>
        </w:tc>
        <w:tc>
          <w:p w14:paraId="282A83EC">
            <w:r>
              <w:rPr>
                <w:rFonts w:hint="eastAsia"/>
              </w:rPr>
              <w:t>TCP/存储协议端口</w:t>
            </w:r>
          </w:p>
        </w:tc>
        <w:tc>
          <w:p w14:paraId="33D55FB7">
            <w:r>
              <w:rPr>
                <w:rFonts w:hint="eastAsia"/>
              </w:rPr>
              <w:t>文件归档与备份</w:t>
            </w:r>
          </w:p>
        </w:tc>
        <w:tc>
          <w:p w14:paraId="5F3C38D7">
            <w:r>
              <w:rPr>
                <w:rFonts w:hint="eastAsia"/>
              </w:rPr>
              <w:t>内网放通</w:t>
            </w:r>
          </w:p>
        </w:tc>
      </w:tr>
      <w:tr w14:paraId="1E460B12">
        <w:tc>
          <w:p w14:paraId="26CAB12F">
            <w:r>
              <w:rPr>
                <w:rFonts w:hint="eastAsia"/>
              </w:rPr>
              <w:t>运维管理终端</w:t>
            </w:r>
          </w:p>
        </w:tc>
        <w:tc>
          <w:p w14:paraId="7982A9B3">
            <w:r>
              <w:rPr>
                <w:rFonts w:hint="eastAsia"/>
              </w:rPr>
              <w:t>各节点</w:t>
            </w:r>
          </w:p>
        </w:tc>
        <w:tc>
          <w:p w14:paraId="46BAE559">
            <w:r>
              <w:t xml:space="preserve">SSH/22 </w:t>
            </w:r>
            <w:r>
              <w:rPr>
                <w:rFonts w:hint="eastAsia"/>
              </w:rPr>
              <w:t>及必要管理端口</w:t>
            </w:r>
          </w:p>
        </w:tc>
        <w:tc>
          <w:p w14:paraId="7EFF4D43">
            <w:r>
              <w:rPr>
                <w:rFonts w:hint="eastAsia"/>
              </w:rPr>
              <w:t>运维、巡检、发布、恢复</w:t>
            </w:r>
          </w:p>
        </w:tc>
        <w:tc>
          <w:p w14:paraId="285A45C6">
            <w:r>
              <w:rPr>
                <w:rFonts w:hint="eastAsia"/>
              </w:rPr>
              <w:t>仅运维区放通</w:t>
            </w:r>
          </w:p>
        </w:tc>
      </w:tr>
      <w:bookmarkEnd w:id="26"/>
    </w:tbl>
    <w:p w14:paraId="137C0272">
      <w:pPr>
        <w:pStyle w:val="3"/>
      </w:pPr>
      <w:bookmarkStart w:id="27" w:name="访问控制与端口建议"/>
      <w:r>
        <w:rPr>
          <w:rFonts w:hint="eastAsia"/>
        </w:rPr>
        <w:t>访问控制与端口建议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1560D088">
        <w:trPr>
          <w:tblHeader/>
        </w:trPr>
        <w:tc>
          <w:p w14:paraId="078CD899">
            <w:r>
              <w:rPr>
                <w:rFonts w:hint="eastAsia"/>
              </w:rPr>
              <w:t>服务</w:t>
            </w:r>
          </w:p>
        </w:tc>
        <w:tc>
          <w:p w14:paraId="59D4B2C0">
            <w:r>
              <w:rPr>
                <w:rFonts w:hint="eastAsia"/>
              </w:rPr>
              <w:t>典型端口</w:t>
            </w:r>
          </w:p>
        </w:tc>
        <w:tc>
          <w:p w14:paraId="033E8617">
            <w:r>
              <w:rPr>
                <w:rFonts w:hint="eastAsia"/>
              </w:rPr>
              <w:t>访问范围</w:t>
            </w:r>
          </w:p>
        </w:tc>
      </w:tr>
      <w:tr w14:paraId="1309CAF5">
        <w:tc>
          <w:p w14:paraId="5FC488CA">
            <w:r>
              <w:t>Nginx/HTTPS</w:t>
            </w:r>
          </w:p>
        </w:tc>
        <w:tc>
          <w:p w14:paraId="2AD7548A">
            <w:r>
              <w:t>443</w:t>
            </w:r>
          </w:p>
        </w:tc>
        <w:tc>
          <w:p w14:paraId="15FE9559">
            <w:r>
              <w:rPr>
                <w:rFonts w:hint="eastAsia"/>
              </w:rPr>
              <w:t>对外开放</w:t>
            </w:r>
          </w:p>
        </w:tc>
      </w:tr>
      <w:tr w14:paraId="1332639A">
        <w:tc>
          <w:p w14:paraId="1B771AAF">
            <w:r>
              <w:t xml:space="preserve">Spring Boot Gateway / </w:t>
            </w:r>
            <w:r>
              <w:rPr>
                <w:rFonts w:hint="eastAsia"/>
              </w:rPr>
              <w:t>业务应用端口</w:t>
            </w:r>
          </w:p>
        </w:tc>
        <w:tc>
          <w:p w14:paraId="34AF39F0">
            <w:r>
              <w:rPr>
                <w:rFonts w:hint="eastAsia"/>
              </w:rPr>
              <w:t>项目自定义端口</w:t>
            </w:r>
          </w:p>
        </w:tc>
        <w:tc>
          <w:p w14:paraId="190F8DD6">
            <w:r>
              <w:rPr>
                <w:rFonts w:hint="eastAsia"/>
              </w:rPr>
              <w:t>仅内网</w:t>
            </w:r>
            <w:r>
              <w:t xml:space="preserve"> Nginx </w:t>
            </w:r>
            <w:r>
              <w:rPr>
                <w:rFonts w:hint="eastAsia"/>
              </w:rPr>
              <w:t>与内网调用</w:t>
            </w:r>
          </w:p>
        </w:tc>
      </w:tr>
      <w:tr w14:paraId="0C7F7F7E">
        <w:tc>
          <w:p w14:paraId="4A673562">
            <w:r>
              <w:t>Redis</w:t>
            </w:r>
          </w:p>
        </w:tc>
        <w:tc>
          <w:p w14:paraId="63503B81">
            <w:r>
              <w:t>6379</w:t>
            </w:r>
          </w:p>
        </w:tc>
        <w:tc>
          <w:p w14:paraId="6707A7FB">
            <w:r>
              <w:rPr>
                <w:rFonts w:hint="eastAsia"/>
              </w:rPr>
              <w:t>仅业务应用与运维可访问</w:t>
            </w:r>
          </w:p>
        </w:tc>
      </w:tr>
      <w:tr w14:paraId="558045F0">
        <w:tc>
          <w:p w14:paraId="6D2FC861">
            <w:r>
              <w:t>Nacos</w:t>
            </w:r>
          </w:p>
        </w:tc>
        <w:tc>
          <w:p w14:paraId="61AB1371">
            <w:r>
              <w:t>8848</w:t>
            </w:r>
          </w:p>
        </w:tc>
        <w:tc>
          <w:p w14:paraId="2BE39011">
            <w:r>
              <w:rPr>
                <w:rFonts w:hint="eastAsia"/>
              </w:rPr>
              <w:t>仅业务应用与运维可访问</w:t>
            </w:r>
          </w:p>
        </w:tc>
      </w:tr>
      <w:tr w14:paraId="7D38F6C4">
        <w:tc>
          <w:p w14:paraId="493A148F">
            <w:r>
              <w:t>MinIO</w:t>
            </w:r>
          </w:p>
        </w:tc>
        <w:tc>
          <w:p w14:paraId="43C3F87E">
            <w:r>
              <w:t>9000/9001</w:t>
            </w:r>
          </w:p>
        </w:tc>
        <w:tc>
          <w:p w14:paraId="3832EC33">
            <w:r>
              <w:rPr>
                <w:rFonts w:hint="eastAsia"/>
              </w:rPr>
              <w:t>仅业务应用与运维可访问</w:t>
            </w:r>
          </w:p>
        </w:tc>
      </w:tr>
      <w:tr w14:paraId="66BC4BEC">
        <w:tc>
          <w:p w14:paraId="1D3B4118">
            <w:r>
              <w:t xml:space="preserve">SFTP/FTP </w:t>
            </w:r>
            <w:r>
              <w:rPr>
                <w:rFonts w:hint="eastAsia"/>
              </w:rPr>
              <w:t>服务</w:t>
            </w:r>
          </w:p>
        </w:tc>
        <w:tc>
          <w:p w14:paraId="0C7E3657">
            <w:r>
              <w:t xml:space="preserve">21 </w:t>
            </w:r>
            <w:r>
              <w:rPr>
                <w:rFonts w:hint="eastAsia"/>
              </w:rPr>
              <w:t>或</w:t>
            </w:r>
            <w:r>
              <w:t xml:space="preserve"> 22</w:t>
            </w:r>
          </w:p>
        </w:tc>
        <w:tc>
          <w:p w14:paraId="5120F071">
            <w:r>
              <w:rPr>
                <w:rFonts w:hint="eastAsia"/>
              </w:rPr>
              <w:t>仅业务应用节点、运维和银行授权链路可访问</w:t>
            </w:r>
          </w:p>
        </w:tc>
      </w:tr>
      <w:tr w14:paraId="36F7FCC6">
        <w:tc>
          <w:p w14:paraId="66A259B7">
            <w:r>
              <w:t>PgBouncer</w:t>
            </w:r>
          </w:p>
        </w:tc>
        <w:tc>
          <w:p w14:paraId="2775B85F">
            <w:r>
              <w:t>6432</w:t>
            </w:r>
          </w:p>
        </w:tc>
        <w:tc>
          <w:p w14:paraId="6F996C50">
            <w:r>
              <w:rPr>
                <w:rFonts w:hint="eastAsia"/>
              </w:rPr>
              <w:t>仅业务应用可访问</w:t>
            </w:r>
          </w:p>
        </w:tc>
      </w:tr>
      <w:tr w14:paraId="1325C356">
        <w:tc>
          <w:p w14:paraId="7C2F4F83">
            <w:r>
              <w:t>HAProxy</w:t>
            </w:r>
          </w:p>
        </w:tc>
        <w:tc>
          <w:p w14:paraId="7746E56C">
            <w:r>
              <w:t xml:space="preserve">5000 </w:t>
            </w:r>
            <w:r>
              <w:rPr>
                <w:rFonts w:hint="eastAsia"/>
              </w:rPr>
              <w:t>或项目定义端口</w:t>
            </w:r>
          </w:p>
        </w:tc>
        <w:tc>
          <w:p w14:paraId="02DD4879">
            <w:r>
              <w:rPr>
                <w:rFonts w:hint="eastAsia"/>
              </w:rPr>
              <w:t>仅</w:t>
            </w:r>
            <w:r>
              <w:t xml:space="preserve"> PgBouncer </w:t>
            </w:r>
            <w:r>
              <w:rPr>
                <w:rFonts w:hint="eastAsia"/>
              </w:rPr>
              <w:t>与运维可访问</w:t>
            </w:r>
          </w:p>
        </w:tc>
      </w:tr>
      <w:tr w14:paraId="37E74A0E">
        <w:tc>
          <w:p w14:paraId="1C63FCA5">
            <w:r>
              <w:t>PostgreSQL</w:t>
            </w:r>
          </w:p>
        </w:tc>
        <w:tc>
          <w:p w14:paraId="2F0A3E99">
            <w:r>
              <w:t>5432</w:t>
            </w:r>
          </w:p>
        </w:tc>
        <w:tc>
          <w:p w14:paraId="472B4875">
            <w:r>
              <w:rPr>
                <w:rFonts w:hint="eastAsia"/>
              </w:rPr>
              <w:t>仅数据库控制主机与运维可访问</w:t>
            </w:r>
          </w:p>
        </w:tc>
      </w:tr>
      <w:bookmarkEnd w:id="27"/>
    </w:tbl>
    <w:p w14:paraId="68F47F44">
      <w:pPr>
        <w:pStyle w:val="3"/>
      </w:pPr>
      <w:bookmarkStart w:id="28" w:name="实施步骤"/>
      <w:r>
        <w:rPr>
          <w:rFonts w:hint="eastAsia"/>
        </w:rPr>
        <w:t>实施步骤</w:t>
      </w:r>
    </w:p>
    <w:p w14:paraId="18466D53">
      <w:pPr>
        <w:pStyle w:val="4"/>
      </w:pPr>
      <w:bookmarkStart w:id="29" w:name="基础资源准备"/>
      <w:r>
        <w:t xml:space="preserve">1. </w:t>
      </w:r>
      <w:r>
        <w:rPr>
          <w:rFonts w:hint="eastAsia"/>
        </w:rPr>
        <w:t>基础资源准备</w:t>
      </w:r>
    </w:p>
    <w:p w14:paraId="3DCDD190">
      <w:pPr>
        <w:numPr>
          <w:ilvl w:val="0"/>
          <w:numId w:val="20"/>
        </w:numPr>
      </w:pPr>
      <w:r>
        <w:rPr>
          <w:rFonts w:hint="eastAsia"/>
        </w:rPr>
        <w:t>确认内网</w:t>
      </w:r>
      <w:r>
        <w:t xml:space="preserve"> Nginx </w:t>
      </w:r>
      <w:r>
        <w:rPr>
          <w:rFonts w:hint="eastAsia"/>
        </w:rPr>
        <w:t>入口节点、业务应用节点、综合节点是否为利旧资源。</w:t>
      </w:r>
    </w:p>
    <w:p w14:paraId="47F28753">
      <w:pPr>
        <w:numPr>
          <w:ilvl w:val="0"/>
          <w:numId w:val="20"/>
        </w:numPr>
      </w:pPr>
      <w:r>
        <w:rPr>
          <w:rFonts w:hint="eastAsia"/>
        </w:rPr>
        <w:t>完成</w:t>
      </w:r>
      <w:r>
        <w:t xml:space="preserve"> SFTP/FTP </w:t>
      </w:r>
      <w:r>
        <w:rPr>
          <w:rFonts w:hint="eastAsia"/>
        </w:rPr>
        <w:t>文件交换服务器、PostgreSQL</w:t>
      </w:r>
      <w:r>
        <w:t xml:space="preserve"> </w:t>
      </w:r>
      <w:r>
        <w:rPr>
          <w:rFonts w:hint="eastAsia"/>
        </w:rPr>
        <w:t>主库服务器、热备服务器及备份归档存储审批。</w:t>
      </w:r>
    </w:p>
    <w:p w14:paraId="4C8869AD">
      <w:pPr>
        <w:numPr>
          <w:ilvl w:val="0"/>
          <w:numId w:val="20"/>
        </w:numPr>
      </w:pPr>
      <w:r>
        <w:rPr>
          <w:rFonts w:hint="eastAsia"/>
        </w:rPr>
        <w:t>完成各网络分区、IP、域名、SSL</w:t>
      </w:r>
      <w:r>
        <w:t xml:space="preserve"> </w:t>
      </w:r>
      <w:r>
        <w:rPr>
          <w:rFonts w:hint="eastAsia"/>
        </w:rPr>
        <w:t>证书、路由及防火墙策略准备。</w:t>
      </w:r>
    </w:p>
    <w:bookmarkEnd w:id="29"/>
    <w:p w14:paraId="5110D66C">
      <w:pPr>
        <w:pStyle w:val="4"/>
      </w:pPr>
      <w:bookmarkStart w:id="30" w:name="基础软件安装"/>
      <w:r>
        <w:t xml:space="preserve">2. </w:t>
      </w:r>
      <w:r>
        <w:rPr>
          <w:rFonts w:hint="eastAsia"/>
        </w:rPr>
        <w:t>基础软件安装</w:t>
      </w:r>
    </w:p>
    <w:p w14:paraId="1D124611">
      <w:pPr>
        <w:numPr>
          <w:ilvl w:val="0"/>
          <w:numId w:val="21"/>
        </w:numPr>
      </w:pPr>
      <w:r>
        <w:rPr>
          <w:rFonts w:hint="eastAsia"/>
        </w:rPr>
        <w:t>安装操作系统并完成安全基线加固。</w:t>
      </w:r>
    </w:p>
    <w:p w14:paraId="0AFA3127">
      <w:pPr>
        <w:numPr>
          <w:ilvl w:val="0"/>
          <w:numId w:val="21"/>
        </w:numPr>
      </w:pPr>
      <w:r>
        <w:rPr>
          <w:rFonts w:hint="eastAsia"/>
        </w:rPr>
        <w:t>在业务应用节点安装</w:t>
      </w:r>
      <w:r>
        <w:t xml:space="preserve"> </w:t>
      </w:r>
      <w:r>
        <w:rPr>
          <w:rFonts w:hint="eastAsia"/>
        </w:rPr>
        <w:t>JDK、部署业务运行环境。</w:t>
      </w:r>
    </w:p>
    <w:p w14:paraId="7C237ACD">
      <w:pPr>
        <w:numPr>
          <w:ilvl w:val="0"/>
          <w:numId w:val="21"/>
        </w:numPr>
      </w:pPr>
      <w:r>
        <w:rPr>
          <w:rFonts w:hint="eastAsia"/>
        </w:rPr>
        <w:t>在内网</w:t>
      </w:r>
      <w:r>
        <w:t xml:space="preserve"> Nginx </w:t>
      </w:r>
      <w:r>
        <w:rPr>
          <w:rFonts w:hint="eastAsia"/>
        </w:rPr>
        <w:t>入口节点安装</w:t>
      </w:r>
      <w:r>
        <w:t xml:space="preserve"> Nginx。</w:t>
      </w:r>
    </w:p>
    <w:p w14:paraId="24BC23BA">
      <w:pPr>
        <w:numPr>
          <w:ilvl w:val="0"/>
          <w:numId w:val="21"/>
        </w:numPr>
      </w:pPr>
      <w:r>
        <w:rPr>
          <w:rFonts w:hint="eastAsia"/>
        </w:rPr>
        <w:t>在综合节点安装</w:t>
      </w:r>
      <w:r>
        <w:t xml:space="preserve"> Redis、Nacos、HAProxy、PgBouncer、Patroni、MinIO。</w:t>
      </w:r>
    </w:p>
    <w:p w14:paraId="74AA567F">
      <w:pPr>
        <w:numPr>
          <w:ilvl w:val="0"/>
          <w:numId w:val="21"/>
        </w:numPr>
      </w:pPr>
      <w:r>
        <w:rPr>
          <w:rFonts w:hint="eastAsia"/>
        </w:rPr>
        <w:t>在</w:t>
      </w:r>
      <w:r>
        <w:t xml:space="preserve"> SFTP/FTP </w:t>
      </w:r>
      <w:r>
        <w:rPr>
          <w:rFonts w:hint="eastAsia"/>
        </w:rPr>
        <w:t>文件交换服务器安装</w:t>
      </w:r>
      <w:r>
        <w:t xml:space="preserve"> SFTP/FTP </w:t>
      </w:r>
      <w:r>
        <w:rPr>
          <w:rFonts w:hint="eastAsia"/>
        </w:rPr>
        <w:t>服务并配置目录结构。</w:t>
      </w:r>
    </w:p>
    <w:p w14:paraId="2F032EDE">
      <w:pPr>
        <w:numPr>
          <w:ilvl w:val="0"/>
          <w:numId w:val="21"/>
        </w:numPr>
      </w:pPr>
      <w:r>
        <w:rPr>
          <w:rFonts w:hint="eastAsia"/>
        </w:rPr>
        <w:t>在数据库主备节点安装</w:t>
      </w:r>
      <w:r>
        <w:t xml:space="preserve"> PostgreSQL 16。</w:t>
      </w:r>
    </w:p>
    <w:bookmarkEnd w:id="30"/>
    <w:p w14:paraId="19ADD368">
      <w:pPr>
        <w:pStyle w:val="4"/>
      </w:pPr>
      <w:bookmarkStart w:id="31" w:name="数据库主备部署"/>
      <w:r>
        <w:t xml:space="preserve">3. </w:t>
      </w:r>
      <w:r>
        <w:rPr>
          <w:rFonts w:hint="eastAsia"/>
        </w:rPr>
        <w:t>数据库主备部署</w:t>
      </w:r>
    </w:p>
    <w:p w14:paraId="13DCA808">
      <w:pPr>
        <w:numPr>
          <w:ilvl w:val="0"/>
          <w:numId w:val="22"/>
        </w:numPr>
      </w:pPr>
      <w:r>
        <w:rPr>
          <w:rFonts w:hint="eastAsia"/>
        </w:rPr>
        <w:t>初始化</w:t>
      </w:r>
      <w:r>
        <w:t xml:space="preserve"> PostgreSQL </w:t>
      </w:r>
      <w:r>
        <w:rPr>
          <w:rFonts w:hint="eastAsia"/>
        </w:rPr>
        <w:t>主库。</w:t>
      </w:r>
    </w:p>
    <w:p w14:paraId="2B13820B">
      <w:pPr>
        <w:numPr>
          <w:ilvl w:val="0"/>
          <w:numId w:val="22"/>
        </w:numPr>
      </w:pPr>
      <w:r>
        <w:rPr>
          <w:rFonts w:hint="eastAsia"/>
        </w:rPr>
        <w:t>初始化</w:t>
      </w:r>
      <w:r>
        <w:t xml:space="preserve"> PostgreSQL </w:t>
      </w:r>
      <w:r>
        <w:rPr>
          <w:rFonts w:hint="eastAsia"/>
        </w:rPr>
        <w:t>热备库并建立同步复制。</w:t>
      </w:r>
    </w:p>
    <w:p w14:paraId="3B8343C9">
      <w:pPr>
        <w:numPr>
          <w:ilvl w:val="0"/>
          <w:numId w:val="22"/>
        </w:numPr>
      </w:pPr>
      <w:r>
        <w:rPr>
          <w:rFonts w:hint="eastAsia"/>
        </w:rPr>
        <w:t>配置</w:t>
      </w:r>
      <w:r>
        <w:t xml:space="preserve"> Patroni、HAProxy、PgBouncer </w:t>
      </w:r>
      <w:r>
        <w:rPr>
          <w:rFonts w:hint="eastAsia"/>
        </w:rPr>
        <w:t>联动。</w:t>
      </w:r>
    </w:p>
    <w:p w14:paraId="7E8E19DA">
      <w:pPr>
        <w:numPr>
          <w:ilvl w:val="0"/>
          <w:numId w:val="22"/>
        </w:numPr>
      </w:pPr>
      <w:r>
        <w:rPr>
          <w:rFonts w:hint="eastAsia"/>
        </w:rPr>
        <w:t>配置基础备份与</w:t>
      </w:r>
      <w:r>
        <w:t xml:space="preserve"> WAL </w:t>
      </w:r>
      <w:r>
        <w:rPr>
          <w:rFonts w:hint="eastAsia"/>
        </w:rPr>
        <w:t>归档。</w:t>
      </w:r>
    </w:p>
    <w:p w14:paraId="721D727E">
      <w:pPr>
        <w:numPr>
          <w:ilvl w:val="0"/>
          <w:numId w:val="22"/>
        </w:numPr>
      </w:pPr>
      <w:r>
        <w:rPr>
          <w:rFonts w:hint="eastAsia"/>
        </w:rPr>
        <w:t>配置业务应用节点到</w:t>
      </w:r>
      <w:r>
        <w:t xml:space="preserve"> SFTP/FTP </w:t>
      </w:r>
      <w:r>
        <w:rPr>
          <w:rFonts w:hint="eastAsia"/>
        </w:rPr>
        <w:t>文件交换服务器的文件交换目录映射。</w:t>
      </w:r>
    </w:p>
    <w:bookmarkEnd w:id="31"/>
    <w:p w14:paraId="5B9C9836">
      <w:pPr>
        <w:pStyle w:val="4"/>
      </w:pPr>
      <w:bookmarkStart w:id="32" w:name="应用与存储部署"/>
      <w:r>
        <w:t xml:space="preserve">4. </w:t>
      </w:r>
      <w:r>
        <w:rPr>
          <w:rFonts w:hint="eastAsia"/>
        </w:rPr>
        <w:t>应用与存储部署</w:t>
      </w:r>
    </w:p>
    <w:p w14:paraId="236766C8">
      <w:pPr>
        <w:numPr>
          <w:ilvl w:val="0"/>
          <w:numId w:val="23"/>
        </w:numPr>
      </w:pPr>
      <w:r>
        <w:rPr>
          <w:rFonts w:hint="eastAsia"/>
        </w:rPr>
        <w:t>在业务应用节点部署</w:t>
      </w:r>
      <w:r>
        <w:t xml:space="preserve"> Spring Boot Gateway </w:t>
      </w:r>
      <w:r>
        <w:rPr>
          <w:rFonts w:hint="eastAsia"/>
        </w:rPr>
        <w:t>和业务应用服务。</w:t>
      </w:r>
    </w:p>
    <w:p w14:paraId="2BDF8C9B">
      <w:pPr>
        <w:numPr>
          <w:ilvl w:val="0"/>
          <w:numId w:val="23"/>
        </w:numPr>
      </w:pPr>
      <w:r>
        <w:rPr>
          <w:rFonts w:hint="eastAsia"/>
        </w:rPr>
        <w:t>在内网</w:t>
      </w:r>
      <w:r>
        <w:t xml:space="preserve"> Nginx </w:t>
      </w:r>
      <w:r>
        <w:rPr>
          <w:rFonts w:hint="eastAsia"/>
        </w:rPr>
        <w:t>入口节点配置</w:t>
      </w:r>
      <w:r>
        <w:t xml:space="preserve"> API </w:t>
      </w:r>
      <w:r>
        <w:rPr>
          <w:rFonts w:hint="eastAsia"/>
        </w:rPr>
        <w:t>转发和内部负载均衡规则。</w:t>
      </w:r>
    </w:p>
    <w:p w14:paraId="056519F5">
      <w:pPr>
        <w:numPr>
          <w:ilvl w:val="0"/>
          <w:numId w:val="23"/>
        </w:numPr>
      </w:pPr>
      <w:r>
        <w:rPr>
          <w:rFonts w:hint="eastAsia"/>
        </w:rPr>
        <w:t>在综合节点初始化</w:t>
      </w:r>
      <w:r>
        <w:t xml:space="preserve"> MinIO </w:t>
      </w:r>
      <w:r>
        <w:rPr>
          <w:rFonts w:hint="eastAsia"/>
        </w:rPr>
        <w:t>存储桶和访问策略。</w:t>
      </w:r>
    </w:p>
    <w:p w14:paraId="4B3CD95B">
      <w:pPr>
        <w:numPr>
          <w:ilvl w:val="0"/>
          <w:numId w:val="23"/>
        </w:numPr>
      </w:pPr>
      <w:r>
        <w:rPr>
          <w:rFonts w:hint="eastAsia"/>
        </w:rPr>
        <w:t>在</w:t>
      </w:r>
      <w:r>
        <w:t xml:space="preserve"> SFTP/FTP </w:t>
      </w:r>
      <w:r>
        <w:rPr>
          <w:rFonts w:hint="eastAsia"/>
        </w:rPr>
        <w:t>文件交换服务器配置送盘、回盘、对账、归档目录。</w:t>
      </w:r>
    </w:p>
    <w:p w14:paraId="7EC57034">
      <w:pPr>
        <w:numPr>
          <w:ilvl w:val="0"/>
          <w:numId w:val="23"/>
        </w:numPr>
      </w:pPr>
      <w:r>
        <w:rPr>
          <w:rFonts w:hint="eastAsia"/>
        </w:rPr>
        <w:t>配置业务应用到</w:t>
      </w:r>
      <w:r>
        <w:t xml:space="preserve"> Redis、Nacos、PgBouncer、MinIO </w:t>
      </w:r>
      <w:r>
        <w:rPr>
          <w:rFonts w:hint="eastAsia"/>
        </w:rPr>
        <w:t>的连接参数。</w:t>
      </w:r>
    </w:p>
    <w:bookmarkEnd w:id="32"/>
    <w:p w14:paraId="2FAE373B">
      <w:pPr>
        <w:pStyle w:val="4"/>
      </w:pPr>
      <w:bookmarkStart w:id="33" w:name="联调与演练"/>
      <w:r>
        <w:t xml:space="preserve">5. </w:t>
      </w:r>
      <w:r>
        <w:rPr>
          <w:rFonts w:hint="eastAsia"/>
        </w:rPr>
        <w:t>联调与演练</w:t>
      </w:r>
    </w:p>
    <w:p w14:paraId="73460C89">
      <w:pPr>
        <w:numPr>
          <w:ilvl w:val="0"/>
          <w:numId w:val="24"/>
        </w:numPr>
      </w:pPr>
      <w:r>
        <w:rPr>
          <w:rFonts w:hint="eastAsia"/>
        </w:rPr>
        <w:t>完成前后端联调。</w:t>
      </w:r>
    </w:p>
    <w:p w14:paraId="35B06179">
      <w:pPr>
        <w:numPr>
          <w:ilvl w:val="0"/>
          <w:numId w:val="24"/>
        </w:numPr>
      </w:pPr>
      <w:r>
        <w:rPr>
          <w:rFonts w:hint="eastAsia"/>
        </w:rPr>
        <w:t>完成中间件访问验证。</w:t>
      </w:r>
    </w:p>
    <w:p w14:paraId="7A114AA9">
      <w:pPr>
        <w:numPr>
          <w:ilvl w:val="0"/>
          <w:numId w:val="24"/>
        </w:numPr>
      </w:pPr>
      <w:r>
        <w:rPr>
          <w:rFonts w:hint="eastAsia"/>
        </w:rPr>
        <w:t>完成数据库主备同步验证。</w:t>
      </w:r>
    </w:p>
    <w:p w14:paraId="6E1DB8C4">
      <w:pPr>
        <w:numPr>
          <w:ilvl w:val="0"/>
          <w:numId w:val="24"/>
        </w:numPr>
      </w:pPr>
      <w:r>
        <w:rPr>
          <w:rFonts w:hint="eastAsia"/>
        </w:rPr>
        <w:t>完成文件上传、下载、归档验证。</w:t>
      </w:r>
    </w:p>
    <w:p w14:paraId="1375F320">
      <w:pPr>
        <w:numPr>
          <w:ilvl w:val="0"/>
          <w:numId w:val="24"/>
        </w:numPr>
      </w:pPr>
      <w:r>
        <w:rPr>
          <w:rFonts w:hint="eastAsia"/>
        </w:rPr>
        <w:t>完成主备切换演练与回切演练。</w:t>
      </w:r>
    </w:p>
    <w:bookmarkEnd w:id="33"/>
    <w:p w14:paraId="27FB1D1B">
      <w:pPr>
        <w:pStyle w:val="4"/>
      </w:pPr>
      <w:bookmarkStart w:id="34" w:name="上线准备与正式投产"/>
      <w:r>
        <w:t xml:space="preserve">6. </w:t>
      </w:r>
      <w:r>
        <w:rPr>
          <w:rFonts w:hint="eastAsia"/>
        </w:rPr>
        <w:t>上线准备与正式投产</w:t>
      </w:r>
    </w:p>
    <w:p w14:paraId="77FCBB4F">
      <w:pPr>
        <w:numPr>
          <w:ilvl w:val="0"/>
          <w:numId w:val="25"/>
        </w:numPr>
      </w:pPr>
      <w:r>
        <w:rPr>
          <w:rFonts w:hint="eastAsia"/>
        </w:rPr>
        <w:t>完成上线前巡检与问题清零。</w:t>
      </w:r>
    </w:p>
    <w:p w14:paraId="0F03DF7A">
      <w:pPr>
        <w:numPr>
          <w:ilvl w:val="0"/>
          <w:numId w:val="25"/>
        </w:numPr>
      </w:pPr>
      <w:r>
        <w:rPr>
          <w:rFonts w:hint="eastAsia"/>
        </w:rPr>
        <w:t>确认监控、日志、备份、告警正常。</w:t>
      </w:r>
    </w:p>
    <w:p w14:paraId="0D80E4B1">
      <w:pPr>
        <w:numPr>
          <w:ilvl w:val="0"/>
          <w:numId w:val="25"/>
        </w:numPr>
      </w:pPr>
      <w:r>
        <w:rPr>
          <w:rFonts w:hint="eastAsia"/>
        </w:rPr>
        <w:t>完成上线窗口审批。</w:t>
      </w:r>
    </w:p>
    <w:p w14:paraId="41A6E935">
      <w:pPr>
        <w:numPr>
          <w:ilvl w:val="0"/>
          <w:numId w:val="25"/>
        </w:numPr>
      </w:pPr>
      <w:r>
        <w:rPr>
          <w:rFonts w:hint="eastAsia"/>
        </w:rPr>
        <w:t>按上线顺序切换生产流量。</w:t>
      </w:r>
    </w:p>
    <w:bookmarkEnd w:id="28"/>
    <w:bookmarkEnd w:id="34"/>
    <w:p w14:paraId="31EA41FE">
      <w:pPr>
        <w:pStyle w:val="3"/>
      </w:pPr>
      <w:bookmarkStart w:id="35" w:name="验收标准"/>
      <w:r>
        <w:rPr>
          <w:rFonts w:hint="eastAsia"/>
        </w:rPr>
        <w:t>验收标准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54EA68BC">
        <w:trPr>
          <w:tblHeader/>
        </w:trPr>
        <w:tc>
          <w:p w14:paraId="0FD926B1">
            <w:r>
              <w:rPr>
                <w:rFonts w:hint="eastAsia"/>
              </w:rPr>
              <w:t>验收项</w:t>
            </w:r>
          </w:p>
        </w:tc>
        <w:tc>
          <w:p w14:paraId="55F541D4">
            <w:r>
              <w:rPr>
                <w:rFonts w:hint="eastAsia"/>
              </w:rPr>
              <w:t>验收标准</w:t>
            </w:r>
          </w:p>
        </w:tc>
        <w:tc>
          <w:p w14:paraId="3D634F0F">
            <w:r>
              <w:rPr>
                <w:rFonts w:hint="eastAsia"/>
              </w:rPr>
              <w:t>说明</w:t>
            </w:r>
          </w:p>
        </w:tc>
      </w:tr>
      <w:tr w14:paraId="753A4197">
        <w:tc>
          <w:p w14:paraId="658EE1ED">
            <w:r>
              <w:rPr>
                <w:rFonts w:hint="eastAsia"/>
              </w:rPr>
              <w:t>对外访问</w:t>
            </w:r>
          </w:p>
        </w:tc>
        <w:tc>
          <w:p w14:paraId="0C769061">
            <w:r>
              <w:rPr>
                <w:rFonts w:hint="eastAsia"/>
              </w:rPr>
              <w:t>用户可通过统一域名正常访问系统</w:t>
            </w:r>
          </w:p>
        </w:tc>
        <w:tc>
          <w:p w14:paraId="6583DF33">
            <w:r>
              <w:rPr>
                <w:rFonts w:hint="eastAsia"/>
              </w:rPr>
              <w:t>公网入口薄转发与内网</w:t>
            </w:r>
            <w:r>
              <w:t xml:space="preserve"> Nginx </w:t>
            </w:r>
            <w:r>
              <w:rPr>
                <w:rFonts w:hint="eastAsia"/>
              </w:rPr>
              <w:t>链路正常</w:t>
            </w:r>
          </w:p>
        </w:tc>
      </w:tr>
      <w:tr w14:paraId="6958DEF8">
        <w:tc>
          <w:p w14:paraId="77302EA7">
            <w:r>
              <w:rPr>
                <w:rFonts w:hint="eastAsia"/>
              </w:rPr>
              <w:t>业务应用可用性</w:t>
            </w:r>
          </w:p>
        </w:tc>
        <w:tc>
          <w:p w14:paraId="38E87E6C">
            <w:r>
              <w:rPr>
                <w:rFonts w:hint="eastAsia"/>
              </w:rPr>
              <w:t>表务、抄表、收费、账务、发票、报表等核心服务正常</w:t>
            </w:r>
          </w:p>
        </w:tc>
        <w:tc>
          <w:p w14:paraId="145E5CD8">
            <w:r>
              <w:rPr>
                <w:rFonts w:hint="eastAsia"/>
              </w:rPr>
              <w:t>业务主流程可执行</w:t>
            </w:r>
          </w:p>
        </w:tc>
      </w:tr>
      <w:tr w14:paraId="68012D39">
        <w:tc>
          <w:p w14:paraId="11B6B287">
            <w:r>
              <w:t xml:space="preserve">Redis </w:t>
            </w:r>
            <w:r>
              <w:rPr>
                <w:rFonts w:hint="eastAsia"/>
              </w:rPr>
              <w:t>可用性</w:t>
            </w:r>
          </w:p>
        </w:tc>
        <w:tc>
          <w:p w14:paraId="19A89D4C">
            <w:r>
              <w:rPr>
                <w:rFonts w:hint="eastAsia"/>
              </w:rPr>
              <w:t>缓存读写正常</w:t>
            </w:r>
          </w:p>
        </w:tc>
        <w:tc>
          <w:p w14:paraId="4D5D89DB">
            <w:r>
              <w:rPr>
                <w:rFonts w:hint="eastAsia"/>
              </w:rPr>
              <w:t>中间件能力正常</w:t>
            </w:r>
          </w:p>
        </w:tc>
      </w:tr>
      <w:tr w14:paraId="42346A91">
        <w:tc>
          <w:p w14:paraId="692CF257">
            <w:r>
              <w:t xml:space="preserve">Nacos </w:t>
            </w:r>
            <w:r>
              <w:rPr>
                <w:rFonts w:hint="eastAsia"/>
              </w:rPr>
              <w:t>可用性</w:t>
            </w:r>
          </w:p>
        </w:tc>
        <w:tc>
          <w:p w14:paraId="5E014331">
            <w:r>
              <w:rPr>
                <w:rFonts w:hint="eastAsia"/>
              </w:rPr>
              <w:t>配置下发正常</w:t>
            </w:r>
          </w:p>
        </w:tc>
        <w:tc>
          <w:p w14:paraId="4B30700A">
            <w:r>
              <w:rPr>
                <w:rFonts w:hint="eastAsia"/>
              </w:rPr>
              <w:t>配置治理能力正常</w:t>
            </w:r>
          </w:p>
        </w:tc>
      </w:tr>
      <w:tr w14:paraId="6B2EEDBB">
        <w:tc>
          <w:p w14:paraId="0FCF6F5C">
            <w:r>
              <w:t xml:space="preserve">MinIO </w:t>
            </w:r>
            <w:r>
              <w:rPr>
                <w:rFonts w:hint="eastAsia"/>
              </w:rPr>
              <w:t>可用性</w:t>
            </w:r>
          </w:p>
        </w:tc>
        <w:tc>
          <w:p w14:paraId="15404BAC">
            <w:r>
              <w:rPr>
                <w:rFonts w:hint="eastAsia"/>
              </w:rPr>
              <w:t>图片、附件上传下载正常</w:t>
            </w:r>
          </w:p>
        </w:tc>
        <w:tc>
          <w:p w14:paraId="0328EE96">
            <w:r>
              <w:rPr>
                <w:rFonts w:hint="eastAsia"/>
              </w:rPr>
              <w:t>文件存储能力正常</w:t>
            </w:r>
          </w:p>
        </w:tc>
      </w:tr>
      <w:tr w14:paraId="7F0147F7">
        <w:tc>
          <w:p w14:paraId="422980D0">
            <w:r>
              <w:t xml:space="preserve">SFTP/FTP </w:t>
            </w:r>
            <w:r>
              <w:rPr>
                <w:rFonts w:hint="eastAsia"/>
              </w:rPr>
              <w:t>文件交换</w:t>
            </w:r>
          </w:p>
        </w:tc>
        <w:tc>
          <w:p w14:paraId="110277DF">
            <w:r>
              <w:rPr>
                <w:rFonts w:hint="eastAsia"/>
              </w:rPr>
              <w:t>送盘、回盘、对账目录读写正常</w:t>
            </w:r>
          </w:p>
        </w:tc>
        <w:tc>
          <w:p w14:paraId="1B0BC9C8">
            <w:r>
              <w:rPr>
                <w:rFonts w:hint="eastAsia"/>
              </w:rPr>
              <w:t>银行文件交换能力正常</w:t>
            </w:r>
          </w:p>
        </w:tc>
      </w:tr>
      <w:tr w14:paraId="19A3F029">
        <w:tc>
          <w:p w14:paraId="6EE563A5">
            <w:r>
              <w:rPr>
                <w:rFonts w:hint="eastAsia"/>
              </w:rPr>
              <w:t>数据库连接能力</w:t>
            </w:r>
          </w:p>
        </w:tc>
        <w:tc>
          <w:p w14:paraId="25B5CAD8">
            <w:r>
              <w:rPr>
                <w:rFonts w:hint="eastAsia"/>
              </w:rPr>
              <w:t>业务应用可通过</w:t>
            </w:r>
            <w:r>
              <w:t xml:space="preserve"> PgBouncer </w:t>
            </w:r>
            <w:r>
              <w:rPr>
                <w:rFonts w:hint="eastAsia"/>
              </w:rPr>
              <w:t>正常连接数据库</w:t>
            </w:r>
          </w:p>
        </w:tc>
        <w:tc>
          <w:p w14:paraId="2D89EB48">
            <w:r>
              <w:rPr>
                <w:rFonts w:hint="eastAsia"/>
              </w:rPr>
              <w:t>代理接入正常</w:t>
            </w:r>
          </w:p>
        </w:tc>
      </w:tr>
      <w:tr w14:paraId="417A08D6">
        <w:tc>
          <w:p w14:paraId="7E9F7291">
            <w:r>
              <w:t xml:space="preserve">PostgreSQL </w:t>
            </w:r>
            <w:r>
              <w:rPr>
                <w:rFonts w:hint="eastAsia"/>
              </w:rPr>
              <w:t>主备同步</w:t>
            </w:r>
          </w:p>
        </w:tc>
        <w:tc>
          <w:p w14:paraId="569F58F4">
            <w:r>
              <w:rPr>
                <w:rFonts w:hint="eastAsia"/>
              </w:rPr>
              <w:t>主备复制正常，无严重延迟</w:t>
            </w:r>
          </w:p>
        </w:tc>
        <w:tc>
          <w:p w14:paraId="046C1D9F">
            <w:r>
              <w:rPr>
                <w:rFonts w:hint="eastAsia"/>
              </w:rPr>
              <w:t>高可用基础正常</w:t>
            </w:r>
          </w:p>
        </w:tc>
      </w:tr>
      <w:tr w14:paraId="22059489">
        <w:tc>
          <w:p w14:paraId="1273C257">
            <w:r>
              <w:rPr>
                <w:rFonts w:hint="eastAsia"/>
              </w:rPr>
              <w:t>数据库切换演练</w:t>
            </w:r>
          </w:p>
        </w:tc>
        <w:tc>
          <w:p w14:paraId="02C8AE41">
            <w:r>
              <w:rPr>
                <w:rFonts w:hint="eastAsia"/>
              </w:rPr>
              <w:t>主备切换成功，业务恢复正常</w:t>
            </w:r>
          </w:p>
        </w:tc>
        <w:tc>
          <w:p w14:paraId="0437314F">
            <w:r>
              <w:rPr>
                <w:rFonts w:hint="eastAsia"/>
              </w:rPr>
              <w:t>高可用能力可验证</w:t>
            </w:r>
          </w:p>
        </w:tc>
      </w:tr>
      <w:tr w14:paraId="2691EFF8">
        <w:tc>
          <w:p w14:paraId="2C2D7A83">
            <w:r>
              <w:rPr>
                <w:rFonts w:hint="eastAsia"/>
              </w:rPr>
              <w:t>备份归档</w:t>
            </w:r>
          </w:p>
        </w:tc>
        <w:tc>
          <w:p w14:paraId="0F2E7FDF">
            <w:r>
              <w:rPr>
                <w:rFonts w:hint="eastAsia"/>
              </w:rPr>
              <w:t>基础备份与</w:t>
            </w:r>
            <w:r>
              <w:t xml:space="preserve"> WAL </w:t>
            </w:r>
            <w:r>
              <w:rPr>
                <w:rFonts w:hint="eastAsia"/>
              </w:rPr>
              <w:t>归档正常</w:t>
            </w:r>
          </w:p>
        </w:tc>
        <w:tc>
          <w:p w14:paraId="2FA07015">
            <w:r>
              <w:rPr>
                <w:rFonts w:hint="eastAsia"/>
              </w:rPr>
              <w:t>恢复能力可验证</w:t>
            </w:r>
          </w:p>
        </w:tc>
      </w:tr>
      <w:tr w14:paraId="0F68A7E0">
        <w:tc>
          <w:p w14:paraId="10D0C432">
            <w:r>
              <w:rPr>
                <w:rFonts w:hint="eastAsia"/>
              </w:rPr>
              <w:t>运维监控</w:t>
            </w:r>
          </w:p>
        </w:tc>
        <w:tc>
          <w:p w14:paraId="2BA58ECD">
            <w:r>
              <w:rPr>
                <w:rFonts w:hint="eastAsia"/>
              </w:rPr>
              <w:t>关键节点监控、日志、告警正常</w:t>
            </w:r>
          </w:p>
        </w:tc>
        <w:tc>
          <w:p w14:paraId="63D268A0">
            <w:r>
              <w:rPr>
                <w:rFonts w:hint="eastAsia"/>
              </w:rPr>
              <w:t>运维可观测性正常</w:t>
            </w:r>
          </w:p>
        </w:tc>
      </w:tr>
      <w:bookmarkEnd w:id="35"/>
    </w:tbl>
    <w:p w14:paraId="7321571E">
      <w:pPr>
        <w:pStyle w:val="3"/>
      </w:pPr>
      <w:bookmarkStart w:id="36" w:name="部署结论"/>
      <w:r>
        <w:rPr>
          <w:rFonts w:hint="eastAsia"/>
        </w:rPr>
        <w:t>部署结论</w:t>
      </w:r>
    </w:p>
    <w:p w14:paraId="7A3BBCDE">
      <w:r>
        <w:rPr>
          <w:rFonts w:hint="eastAsia"/>
        </w:rPr>
        <w:t>在已采纳</w:t>
      </w:r>
      <w:r>
        <w:t xml:space="preserve"> PostgreSQL 16 </w:t>
      </w:r>
      <w:r>
        <w:rPr>
          <w:rFonts w:hint="eastAsia"/>
        </w:rPr>
        <w:t>方案二作为数据库部署方案的前提下，建议福建水务营收系统采用“前后端分层部署</w:t>
      </w:r>
      <w:r>
        <w:t xml:space="preserve"> + </w:t>
      </w:r>
      <w:r>
        <w:rPr>
          <w:rFonts w:hint="eastAsia"/>
        </w:rPr>
        <w:t>中间件集中部署</w:t>
      </w:r>
      <w:r>
        <w:t xml:space="preserve"> + </w:t>
      </w:r>
      <w:r>
        <w:rPr>
          <w:rFonts w:hint="eastAsia"/>
        </w:rPr>
        <w:t>数据库主备分离部署”的整体部署模式。</w:t>
      </w:r>
    </w:p>
    <w:p w14:paraId="0B54435E">
      <w:pPr>
        <w:pStyle w:val="13"/>
      </w:pPr>
      <w:r>
        <w:rPr>
          <w:rFonts w:hint="eastAsia"/>
        </w:rPr>
        <w:t>本方案的最终结论如下：</w:t>
      </w:r>
    </w:p>
    <w:p w14:paraId="0EAB2CCF">
      <w:pPr>
        <w:numPr>
          <w:ilvl w:val="0"/>
          <w:numId w:val="26"/>
        </w:numPr>
      </w:pPr>
      <w:r>
        <w:rPr>
          <w:rFonts w:hint="eastAsia"/>
        </w:rPr>
        <w:t>公网入口薄转发不纳入我方主机资源；我方实际部署的统一接入入口为内网</w:t>
      </w:r>
      <w:r>
        <w:t xml:space="preserve"> Nginx </w:t>
      </w:r>
      <w:r>
        <w:rPr>
          <w:rFonts w:hint="eastAsia"/>
        </w:rPr>
        <w:t>入口节点。</w:t>
      </w:r>
    </w:p>
    <w:p w14:paraId="3E59BD04">
      <w:pPr>
        <w:numPr>
          <w:ilvl w:val="0"/>
          <w:numId w:val="26"/>
        </w:numPr>
      </w:pPr>
      <w:r>
        <w:t xml:space="preserve">2 </w:t>
      </w:r>
      <w:r>
        <w:rPr>
          <w:rFonts w:hint="eastAsia"/>
        </w:rPr>
        <w:t>台业务应用节点作为核心业务集群，节点内同时部署</w:t>
      </w:r>
      <w:r>
        <w:t xml:space="preserve"> Spring Boot Gateway </w:t>
      </w:r>
      <w:r>
        <w:rPr>
          <w:rFonts w:hint="eastAsia"/>
        </w:rPr>
        <w:t>和业务服务，承接微服务统一接入与核心业务处理。</w:t>
      </w:r>
    </w:p>
    <w:p w14:paraId="484E7DE9">
      <w:pPr>
        <w:numPr>
          <w:ilvl w:val="0"/>
          <w:numId w:val="26"/>
        </w:numPr>
      </w:pPr>
      <w:r>
        <w:rPr>
          <w:rFonts w:hint="eastAsia"/>
        </w:rPr>
        <w:t>综合节点集中承载</w:t>
      </w:r>
      <w:r>
        <w:t xml:space="preserve"> Redis、Nacos、MinIO </w:t>
      </w:r>
      <w:r>
        <w:rPr>
          <w:rFonts w:hint="eastAsia"/>
        </w:rPr>
        <w:t>及数据库控制组件，进一步压缩一期主机数量并降低部署复杂度。</w:t>
      </w:r>
    </w:p>
    <w:p w14:paraId="4DB496B8">
      <w:pPr>
        <w:numPr>
          <w:ilvl w:val="0"/>
          <w:numId w:val="26"/>
        </w:numPr>
      </w:pPr>
      <w:r>
        <w:rPr>
          <w:rFonts w:hint="eastAsia"/>
        </w:rPr>
        <w:t>新增</w:t>
      </w:r>
      <w:r>
        <w:t xml:space="preserve"> 1 </w:t>
      </w:r>
      <w:r>
        <w:rPr>
          <w:rFonts w:hint="eastAsia"/>
        </w:rPr>
        <w:t>台</w:t>
      </w:r>
      <w:r>
        <w:t xml:space="preserve"> SFTP/FTP </w:t>
      </w:r>
      <w:r>
        <w:rPr>
          <w:rFonts w:hint="eastAsia"/>
        </w:rPr>
        <w:t>文件交换服务器，作为银行送盘、回盘、对账文件交换专用前置机。</w:t>
      </w:r>
    </w:p>
    <w:p w14:paraId="4672D8BE">
      <w:pPr>
        <w:numPr>
          <w:ilvl w:val="0"/>
          <w:numId w:val="26"/>
        </w:numPr>
      </w:pPr>
      <w:r>
        <w:t xml:space="preserve">PostgreSQL 16 </w:t>
      </w:r>
      <w:r>
        <w:rPr>
          <w:rFonts w:hint="eastAsia"/>
        </w:rPr>
        <w:t>采用同城双可用区</w:t>
      </w:r>
      <w:r>
        <w:t xml:space="preserve"> 1 </w:t>
      </w:r>
      <w:r>
        <w:rPr>
          <w:rFonts w:hint="eastAsia"/>
        </w:rPr>
        <w:t>主</w:t>
      </w:r>
      <w:r>
        <w:t xml:space="preserve"> 1 </w:t>
      </w:r>
      <w:r>
        <w:rPr>
          <w:rFonts w:hint="eastAsia"/>
        </w:rPr>
        <w:t>热备部署，满足高可用要求。</w:t>
      </w:r>
    </w:p>
    <w:p w14:paraId="2B32B427">
      <w:pPr>
        <w:numPr>
          <w:ilvl w:val="0"/>
          <w:numId w:val="26"/>
        </w:numPr>
      </w:pPr>
      <w:r>
        <w:rPr>
          <w:rFonts w:hint="eastAsia"/>
        </w:rPr>
        <w:t>网络采用公网接入区、内网接入区、应用区、中间件与文件存储区、银行文件交换区、数据区分层隔离模式，以满足安全性、可维护性和资源审批要求。</w:t>
      </w:r>
    </w:p>
    <w:bookmarkEnd w:id="0"/>
    <w:bookmarkEnd w:id="36"/>
    <w:sectPr>
      <w:headerReference r:id="rId6" w:type="first"/>
      <w:footerReference r:id="rId7" w:type="first"/>
      <w:headerReference r:id="rId5" w:type="default"/>
      <w:footnotePr>
        <w:pos w:val="beneathText"/>
      </w:footnotePr>
      <w:pgSz w:w="11906" w:h="16838"/>
      <w:pgMar w:top="1418" w:right="1134" w:bottom="1418" w:left="1418" w:header="851" w:footer="992" w:gutter="0"/>
      <w:pgNumType w:start="1"/>
      <w:cols w:space="720" w:num="1"/>
      <w:titlePg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Lohit Devanagari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18767">
    <w:pPr>
      <w:pStyle w:val="15"/>
    </w:pPr>
  </w:p>
  <w:p w14:paraId="7CBBF538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3CD8A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福建水务营收系统整体部署方案说明书                                           福建省水投数字科技有限公司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7D24B">
    <w:pPr>
      <w:pStyle w:val="16"/>
      <w:pBdr>
        <w:bottom w:val="none" w:color="auto" w:sz="0" w:space="0"/>
      </w:pBdr>
      <w:jc w:val="distribute"/>
      <w:rPr>
        <w:rFonts w:hint="eastAsia" w:ascii="宋体" w:hAnsi="宋体" w:cs="宋体"/>
      </w:rPr>
    </w:pPr>
    <w:r>
      <w:rPr>
        <w:rFonts w:hint="eastAsia" w:ascii="宋体" w:hAnsi="宋体" w:cs="宋体"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pStyle w:val="2"/>
      <w:lvlText w:val="%1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0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0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0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0"/>
        </w:tabs>
        <w:ind w:left="1584" w:hanging="1584"/>
      </w:pPr>
      <w:rPr>
        <w:rFonts w:hint="eastAsia"/>
      </w:rPr>
    </w:lvl>
  </w:abstractNum>
  <w:abstractNum w:abstractNumId="1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4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31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  <w:rsid w:val="DFE40420"/>
    <w:rsid w:val="E3DE555F"/>
    <w:rsid w:val="F5FF0C0A"/>
    <w:rsid w:val="F7DF3B82"/>
    <w:rsid w:val="FDDF6F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6" w:semiHidden="0" w:name="heading 1"/>
    <w:lsdException w:qFormat="1" w:unhideWhenUsed="0" w:uiPriority="6" w:semiHidden="0" w:name="heading 2"/>
    <w:lsdException w:qFormat="1" w:unhideWhenUsed="0" w:uiPriority="6" w:semiHidden="0" w:name="heading 3"/>
    <w:lsdException w:qFormat="1" w:unhideWhenUsed="0" w:uiPriority="6" w:semiHidden="0" w:name="heading 4"/>
    <w:lsdException w:qFormat="1" w:unhideWhenUsed="0" w:uiPriority="6" w:semiHidden="0" w:name="heading 5"/>
    <w:lsdException w:qFormat="1" w:unhideWhenUsed="0" w:uiPriority="6" w:semiHidden="0" w:name="heading 6"/>
    <w:lsdException w:qFormat="1" w:unhideWhenUsed="0" w:uiPriority="6" w:semiHidden="0" w:name="heading 7"/>
    <w:lsdException w:qFormat="1" w:unhideWhenUsed="0" w:uiPriority="6" w:semiHidden="0" w:name="heading 8"/>
    <w:lsdException w:qFormat="1" w:unhideWhenUsed="0" w:uiPriority="6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6" w:semiHidden="0" w:name="footer"/>
    <w:lsdException w:unhideWhenUsed="0" w:uiPriority="0" w:semiHidden="0" w:name="index heading"/>
    <w:lsdException w:qFormat="1" w:unhideWhenUsed="0" w:uiPriority="7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6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6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suppressAutoHyphens/>
      <w:spacing w:line="360" w:lineRule="auto"/>
    </w:pPr>
    <w:rPr>
      <w:rFonts w:ascii="Arial" w:hAnsi="Arial" w:eastAsia="宋体" w:cs="Arial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6"/>
    <w:pPr>
      <w:keepNext/>
      <w:keepLines/>
      <w:pageBreakBefore/>
      <w:numPr>
        <w:ilvl w:val="0"/>
        <w:numId w:val="1"/>
      </w:numPr>
      <w:tabs>
        <w:tab w:val="left" w:pos="432"/>
      </w:tabs>
      <w:spacing w:before="340" w:after="330" w:line="240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qFormat/>
    <w:uiPriority w:val="6"/>
    <w:pPr>
      <w:keepNext/>
      <w:keepLines/>
      <w:numPr>
        <w:ilvl w:val="1"/>
        <w:numId w:val="1"/>
      </w:numPr>
      <w:tabs>
        <w:tab w:val="left" w:pos="576"/>
      </w:tabs>
      <w:spacing w:before="260" w:after="260" w:line="240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qFormat/>
    <w:uiPriority w:val="6"/>
    <w:pPr>
      <w:keepNext/>
      <w:keepLines/>
      <w:numPr>
        <w:ilvl w:val="2"/>
        <w:numId w:val="1"/>
      </w:numPr>
      <w:tabs>
        <w:tab w:val="left" w:pos="720"/>
        <w:tab w:val="left" w:pos="872"/>
      </w:tabs>
      <w:spacing w:before="260" w:after="260" w:line="240" w:lineRule="auto"/>
      <w:outlineLvl w:val="2"/>
    </w:pPr>
    <w:rPr>
      <w:b/>
      <w:bCs/>
      <w:sz w:val="30"/>
      <w:szCs w:val="32"/>
    </w:rPr>
  </w:style>
  <w:style w:type="paragraph" w:styleId="5">
    <w:name w:val="heading 4"/>
    <w:basedOn w:val="1"/>
    <w:next w:val="1"/>
    <w:qFormat/>
    <w:uiPriority w:val="6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qFormat/>
    <w:uiPriority w:val="6"/>
    <w:pPr>
      <w:keepNext/>
      <w:keepLines/>
      <w:numPr>
        <w:ilvl w:val="4"/>
        <w:numId w:val="1"/>
      </w:numPr>
      <w:tabs>
        <w:tab w:val="left" w:pos="1008"/>
      </w:tabs>
      <w:spacing w:before="280" w:after="290" w:line="240" w:lineRule="auto"/>
      <w:outlineLvl w:val="4"/>
    </w:pPr>
    <w:rPr>
      <w:b/>
      <w:bCs/>
      <w:szCs w:val="28"/>
    </w:rPr>
  </w:style>
  <w:style w:type="paragraph" w:styleId="7">
    <w:name w:val="heading 6"/>
    <w:basedOn w:val="1"/>
    <w:next w:val="1"/>
    <w:qFormat/>
    <w:uiPriority w:val="6"/>
    <w:pPr>
      <w:keepNext/>
      <w:keepLines/>
      <w:numPr>
        <w:ilvl w:val="5"/>
        <w:numId w:val="1"/>
      </w:numPr>
      <w:tabs>
        <w:tab w:val="left" w:pos="1152"/>
      </w:tabs>
      <w:spacing w:before="240" w:after="64" w:line="319" w:lineRule="auto"/>
      <w:outlineLvl w:val="5"/>
    </w:pPr>
    <w:rPr>
      <w:b/>
      <w:bCs/>
      <w:szCs w:val="24"/>
    </w:rPr>
  </w:style>
  <w:style w:type="paragraph" w:styleId="8">
    <w:name w:val="heading 7"/>
    <w:basedOn w:val="1"/>
    <w:next w:val="1"/>
    <w:qFormat/>
    <w:uiPriority w:val="6"/>
    <w:pPr>
      <w:keepNext/>
      <w:keepLines/>
      <w:numPr>
        <w:ilvl w:val="6"/>
        <w:numId w:val="1"/>
      </w:numPr>
      <w:tabs>
        <w:tab w:val="left" w:pos="1296"/>
      </w:tabs>
      <w:spacing w:before="240" w:after="64" w:line="319" w:lineRule="auto"/>
      <w:outlineLvl w:val="6"/>
    </w:pPr>
    <w:rPr>
      <w:b/>
      <w:bCs/>
      <w:sz w:val="18"/>
      <w:szCs w:val="24"/>
    </w:rPr>
  </w:style>
  <w:style w:type="paragraph" w:styleId="9">
    <w:name w:val="heading 8"/>
    <w:basedOn w:val="1"/>
    <w:next w:val="1"/>
    <w:qFormat/>
    <w:uiPriority w:val="6"/>
    <w:pPr>
      <w:keepNext/>
      <w:keepLines/>
      <w:numPr>
        <w:ilvl w:val="7"/>
        <w:numId w:val="1"/>
      </w:numPr>
      <w:tabs>
        <w:tab w:val="left" w:pos="1440"/>
      </w:tabs>
      <w:spacing w:before="240" w:after="64" w:line="319" w:lineRule="auto"/>
      <w:outlineLvl w:val="7"/>
    </w:pPr>
    <w:rPr>
      <w:b/>
      <w:sz w:val="18"/>
      <w:szCs w:val="24"/>
    </w:rPr>
  </w:style>
  <w:style w:type="paragraph" w:styleId="10">
    <w:name w:val="heading 9"/>
    <w:basedOn w:val="1"/>
    <w:next w:val="1"/>
    <w:qFormat/>
    <w:uiPriority w:val="6"/>
    <w:pPr>
      <w:keepNext/>
      <w:keepLines/>
      <w:numPr>
        <w:ilvl w:val="8"/>
        <w:numId w:val="1"/>
      </w:numPr>
      <w:tabs>
        <w:tab w:val="left" w:pos="1344"/>
        <w:tab w:val="left" w:pos="1584"/>
      </w:tabs>
      <w:spacing w:before="240" w:after="64" w:line="319" w:lineRule="auto"/>
      <w:outlineLvl w:val="8"/>
    </w:pPr>
    <w:rPr>
      <w:b/>
      <w:sz w:val="18"/>
      <w:szCs w:val="21"/>
    </w:rPr>
  </w:style>
  <w:style w:type="character" w:default="1" w:styleId="23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qFormat/>
    <w:uiPriority w:val="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annotation text"/>
    <w:basedOn w:val="1"/>
    <w:uiPriority w:val="0"/>
  </w:style>
  <w:style w:type="paragraph" w:styleId="13">
    <w:name w:val="Body Text"/>
    <w:basedOn w:val="1"/>
    <w:uiPriority w:val="7"/>
    <w:pPr>
      <w:spacing w:after="120"/>
    </w:pPr>
  </w:style>
  <w:style w:type="paragraph" w:styleId="14">
    <w:name w:val="toc 3"/>
    <w:basedOn w:val="1"/>
    <w:next w:val="1"/>
    <w:uiPriority w:val="39"/>
    <w:pPr>
      <w:spacing w:line="240" w:lineRule="auto"/>
      <w:ind w:left="482"/>
    </w:pPr>
    <w:rPr>
      <w:i/>
      <w:sz w:val="18"/>
    </w:rPr>
  </w:style>
  <w:style w:type="paragraph" w:styleId="15">
    <w:name w:val="footer"/>
    <w:basedOn w:val="1"/>
    <w:uiPriority w:val="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6">
    <w:name w:val="header"/>
    <w:basedOn w:val="1"/>
    <w:uiPriority w:val="6"/>
    <w:pPr>
      <w:pBdr>
        <w:top w:val="none" w:color="000000" w:sz="0" w:space="0"/>
        <w:left w:val="none" w:color="000000" w:sz="0" w:space="0"/>
        <w:bottom w:val="single" w:color="000000" w:sz="6" w:space="1"/>
        <w:right w:val="none" w:color="000000" w:sz="0" w:space="0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7">
    <w:name w:val="toc 1"/>
    <w:basedOn w:val="1"/>
    <w:next w:val="1"/>
    <w:uiPriority w:val="39"/>
    <w:pPr>
      <w:spacing w:before="120" w:after="120" w:line="240" w:lineRule="auto"/>
    </w:pPr>
    <w:rPr>
      <w:b/>
      <w:caps/>
    </w:rPr>
  </w:style>
  <w:style w:type="paragraph" w:styleId="18">
    <w:name w:val="List"/>
    <w:basedOn w:val="13"/>
    <w:uiPriority w:val="7"/>
    <w:rPr>
      <w:rFonts w:cs="Lohit Devanagari"/>
    </w:rPr>
  </w:style>
  <w:style w:type="paragraph" w:styleId="19">
    <w:name w:val="toc 2"/>
    <w:basedOn w:val="1"/>
    <w:next w:val="1"/>
    <w:uiPriority w:val="39"/>
    <w:pPr>
      <w:spacing w:line="240" w:lineRule="auto"/>
      <w:ind w:left="238"/>
    </w:pPr>
    <w:rPr>
      <w:smallCaps/>
      <w:sz w:val="18"/>
    </w:rPr>
  </w:style>
  <w:style w:type="table" w:styleId="21">
    <w:name w:val="Table Grid"/>
    <w:basedOn w:val="20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2">
    <w:name w:val="Table Theme"/>
    <w:basedOn w:val="20"/>
    <w:semiHidden/>
    <w:unhideWhenUsed/>
    <w:uiPriority w:val="0"/>
    <w:pPr>
      <w:widowControl w:val="0"/>
      <w:suppressAutoHyphens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uiPriority w:val="6"/>
  </w:style>
  <w:style w:type="character" w:styleId="25">
    <w:name w:val="FollowedHyperlink"/>
    <w:uiPriority w:val="6"/>
    <w:rPr>
      <w:color w:val="800080"/>
      <w:u w:val="single"/>
    </w:rPr>
  </w:style>
  <w:style w:type="character" w:styleId="26">
    <w:name w:val="Hyperlink"/>
    <w:uiPriority w:val="99"/>
    <w:rPr>
      <w:color w:val="0000FF"/>
      <w:u w:val="single"/>
    </w:rPr>
  </w:style>
  <w:style w:type="character" w:customStyle="1" w:styleId="27">
    <w:name w:val="默认段落字体1"/>
    <w:uiPriority w:val="0"/>
  </w:style>
  <w:style w:type="character" w:customStyle="1" w:styleId="28">
    <w:name w:val="WW8Num1z0"/>
    <w:uiPriority w:val="3"/>
    <w:rPr>
      <w:rFonts w:hint="default"/>
    </w:rPr>
  </w:style>
  <w:style w:type="character" w:customStyle="1" w:styleId="29">
    <w:name w:val="WW8Num2z0"/>
    <w:uiPriority w:val="3"/>
    <w:rPr>
      <w:rFonts w:hint="default"/>
    </w:rPr>
  </w:style>
  <w:style w:type="character" w:customStyle="1" w:styleId="30">
    <w:name w:val="WW8Num3z0"/>
    <w:uiPriority w:val="3"/>
    <w:rPr>
      <w:rFonts w:hint="default"/>
    </w:rPr>
  </w:style>
  <w:style w:type="character" w:customStyle="1" w:styleId="31">
    <w:name w:val="WW8Num4z0"/>
    <w:uiPriority w:val="3"/>
    <w:rPr>
      <w:rFonts w:hint="default"/>
    </w:rPr>
  </w:style>
  <w:style w:type="character" w:customStyle="1" w:styleId="32">
    <w:name w:val="WW8Num4z1"/>
    <w:uiPriority w:val="3"/>
  </w:style>
  <w:style w:type="character" w:customStyle="1" w:styleId="33">
    <w:name w:val="WW8Num4z2"/>
    <w:uiPriority w:val="3"/>
  </w:style>
  <w:style w:type="character" w:customStyle="1" w:styleId="34">
    <w:name w:val="WW8Num4z3"/>
    <w:uiPriority w:val="3"/>
  </w:style>
  <w:style w:type="character" w:customStyle="1" w:styleId="35">
    <w:name w:val="WW8Num4z4"/>
    <w:uiPriority w:val="3"/>
  </w:style>
  <w:style w:type="character" w:customStyle="1" w:styleId="36">
    <w:name w:val="WW8Num4z5"/>
    <w:uiPriority w:val="3"/>
  </w:style>
  <w:style w:type="character" w:customStyle="1" w:styleId="37">
    <w:name w:val="WW8Num4z6"/>
    <w:uiPriority w:val="3"/>
  </w:style>
  <w:style w:type="character" w:customStyle="1" w:styleId="38">
    <w:name w:val="WW8Num4z7"/>
    <w:uiPriority w:val="3"/>
  </w:style>
  <w:style w:type="character" w:customStyle="1" w:styleId="39">
    <w:name w:val="WW8Num4z8"/>
    <w:uiPriority w:val="3"/>
  </w:style>
  <w:style w:type="character" w:customStyle="1" w:styleId="40">
    <w:name w:val="WW8Num5z0"/>
    <w:uiPriority w:val="3"/>
    <w:rPr>
      <w:rFonts w:hint="default" w:cs="Arial"/>
      <w:lang w:val="en-US"/>
    </w:rPr>
  </w:style>
  <w:style w:type="character" w:customStyle="1" w:styleId="41">
    <w:name w:val="WW8Num6z0"/>
    <w:uiPriority w:val="3"/>
  </w:style>
  <w:style w:type="character" w:customStyle="1" w:styleId="42">
    <w:name w:val="WW8Num6z1"/>
    <w:uiPriority w:val="3"/>
  </w:style>
  <w:style w:type="character" w:customStyle="1" w:styleId="43">
    <w:name w:val="WW8Num6z2"/>
    <w:uiPriority w:val="3"/>
  </w:style>
  <w:style w:type="character" w:customStyle="1" w:styleId="44">
    <w:name w:val="WW8Num6z3"/>
    <w:uiPriority w:val="3"/>
  </w:style>
  <w:style w:type="character" w:customStyle="1" w:styleId="45">
    <w:name w:val="WW8Num6z4"/>
    <w:uiPriority w:val="3"/>
  </w:style>
  <w:style w:type="character" w:customStyle="1" w:styleId="46">
    <w:name w:val="WW8Num6z5"/>
    <w:uiPriority w:val="3"/>
  </w:style>
  <w:style w:type="character" w:customStyle="1" w:styleId="47">
    <w:name w:val="WW8Num6z6"/>
    <w:uiPriority w:val="3"/>
  </w:style>
  <w:style w:type="character" w:customStyle="1" w:styleId="48">
    <w:name w:val="WW8Num6z7"/>
    <w:uiPriority w:val="3"/>
  </w:style>
  <w:style w:type="character" w:customStyle="1" w:styleId="49">
    <w:name w:val="WW8Num6z8"/>
    <w:uiPriority w:val="3"/>
  </w:style>
  <w:style w:type="character" w:customStyle="1" w:styleId="50">
    <w:name w:val="WW8Num7z0"/>
    <w:uiPriority w:val="3"/>
    <w:rPr>
      <w:rFonts w:hint="default"/>
    </w:rPr>
  </w:style>
  <w:style w:type="character" w:customStyle="1" w:styleId="51">
    <w:name w:val="WW8Num8z0"/>
    <w:uiPriority w:val="3"/>
    <w:rPr>
      <w:rFonts w:hint="default"/>
    </w:rPr>
  </w:style>
  <w:style w:type="character" w:customStyle="1" w:styleId="52">
    <w:name w:val="WW8Num9z0"/>
    <w:uiPriority w:val="3"/>
  </w:style>
  <w:style w:type="character" w:customStyle="1" w:styleId="53">
    <w:name w:val="WW8Num9z1"/>
    <w:uiPriority w:val="3"/>
    <w:rPr>
      <w:rFonts w:hint="eastAsia"/>
    </w:rPr>
  </w:style>
  <w:style w:type="character" w:customStyle="1" w:styleId="54">
    <w:name w:val="WW8Num10z0"/>
    <w:uiPriority w:val="3"/>
    <w:rPr>
      <w:rFonts w:hint="default"/>
    </w:rPr>
  </w:style>
  <w:style w:type="character" w:customStyle="1" w:styleId="55">
    <w:name w:val="WW8Num11z0"/>
    <w:uiPriority w:val="3"/>
    <w:rPr>
      <w:rFonts w:hint="default"/>
    </w:rPr>
  </w:style>
  <w:style w:type="character" w:customStyle="1" w:styleId="56">
    <w:name w:val="批注文字 Char"/>
    <w:uiPriority w:val="0"/>
    <w:rPr>
      <w:rFonts w:ascii="Arial" w:hAnsi="Arial" w:eastAsia="宋体" w:cs="Arial"/>
      <w:color w:val="0000FF"/>
      <w:kern w:val="2"/>
      <w:sz w:val="18"/>
      <w:lang w:val="en-US" w:eastAsia="zh-CN" w:bidi="ar-SA"/>
    </w:rPr>
  </w:style>
  <w:style w:type="character" w:customStyle="1" w:styleId="57">
    <w:name w:val="Index Link"/>
    <w:uiPriority w:val="6"/>
  </w:style>
  <w:style w:type="paragraph" w:customStyle="1" w:styleId="58">
    <w:name w:val="Heading"/>
    <w:basedOn w:val="1"/>
    <w:next w:val="13"/>
    <w:uiPriority w:val="6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59">
    <w:name w:val="Index"/>
    <w:basedOn w:val="1"/>
    <w:uiPriority w:val="6"/>
    <w:pPr>
      <w:suppressLineNumbers/>
    </w:pPr>
    <w:rPr>
      <w:rFonts w:cs="Lohit Devanagari"/>
    </w:rPr>
  </w:style>
  <w:style w:type="paragraph" w:customStyle="1" w:styleId="60">
    <w:name w:val="正文缩进1"/>
    <w:basedOn w:val="1"/>
    <w:uiPriority w:val="0"/>
    <w:pPr>
      <w:ind w:firstLine="420"/>
    </w:pPr>
    <w:rPr>
      <w:rFonts w:ascii="Times New Roman" w:hAnsi="Times New Roman" w:cs="Times New Roman"/>
      <w:sz w:val="24"/>
    </w:rPr>
  </w:style>
  <w:style w:type="paragraph" w:customStyle="1" w:styleId="61">
    <w:name w:val="题注1"/>
    <w:basedOn w:val="1"/>
    <w:next w:val="1"/>
    <w:uiPriority w:val="0"/>
    <w:pPr>
      <w:spacing w:before="152" w:after="160"/>
    </w:pPr>
  </w:style>
  <w:style w:type="paragraph" w:customStyle="1" w:styleId="62">
    <w:name w:val="文档结构图1"/>
    <w:basedOn w:val="1"/>
    <w:uiPriority w:val="0"/>
    <w:pPr>
      <w:shd w:val="clear" w:color="auto" w:fill="000080"/>
    </w:pPr>
  </w:style>
  <w:style w:type="paragraph" w:customStyle="1" w:styleId="63">
    <w:name w:val="批注文字1"/>
    <w:basedOn w:val="1"/>
    <w:uiPriority w:val="0"/>
    <w:pPr>
      <w:spacing w:line="240" w:lineRule="auto"/>
    </w:pPr>
    <w:rPr>
      <w:color w:val="0000FF"/>
      <w:sz w:val="18"/>
    </w:rPr>
  </w:style>
  <w:style w:type="paragraph" w:customStyle="1" w:styleId="64">
    <w:name w:val="批注框文本1"/>
    <w:basedOn w:val="1"/>
    <w:uiPriority w:val="0"/>
    <w:rPr>
      <w:sz w:val="18"/>
      <w:szCs w:val="18"/>
    </w:rPr>
  </w:style>
  <w:style w:type="paragraph" w:customStyle="1" w:styleId="65">
    <w:name w:val="Header and Footer"/>
    <w:basedOn w:val="1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66">
    <w:name w:val="图表目录1"/>
    <w:basedOn w:val="1"/>
    <w:next w:val="1"/>
    <w:uiPriority w:val="0"/>
    <w:pPr>
      <w:ind w:left="480" w:hanging="480"/>
    </w:pPr>
    <w:rPr>
      <w:smallCaps/>
      <w:szCs w:val="24"/>
    </w:rPr>
  </w:style>
  <w:style w:type="paragraph" w:customStyle="1" w:styleId="67">
    <w:name w:val="信息标题1"/>
    <w:basedOn w:val="13"/>
    <w:uiPriority w:val="0"/>
    <w:pPr>
      <w:keepLines/>
      <w:widowControl/>
      <w:tabs>
        <w:tab w:val="left" w:pos="1080"/>
      </w:tabs>
      <w:spacing w:line="240" w:lineRule="atLeast"/>
      <w:ind w:left="1080" w:hanging="1080"/>
    </w:pPr>
    <w:rPr>
      <w:rFonts w:ascii="Garamond" w:hAnsi="Garamond" w:cs="Garamond"/>
      <w:caps/>
      <w:kern w:val="0"/>
      <w:sz w:val="18"/>
    </w:rPr>
  </w:style>
  <w:style w:type="paragraph" w:customStyle="1" w:styleId="68">
    <w:name w:val="普通(网站)1"/>
    <w:basedOn w:val="1"/>
    <w:uiPriority w:val="2"/>
    <w:pPr>
      <w:spacing w:before="100" w:after="100"/>
    </w:pPr>
    <w:rPr>
      <w:rFonts w:cs="Times New Roman"/>
      <w:kern w:val="0"/>
      <w:sz w:val="24"/>
    </w:rPr>
  </w:style>
  <w:style w:type="paragraph" w:customStyle="1" w:styleId="69">
    <w:name w:val="Normal-Table"/>
    <w:basedOn w:val="1"/>
    <w:uiPriority w:val="7"/>
    <w:pPr>
      <w:widowControl/>
      <w:spacing w:after="60" w:line="240" w:lineRule="auto"/>
    </w:pPr>
    <w:rPr>
      <w:rFonts w:ascii="宋体" w:hAnsi="宋体"/>
      <w:kern w:val="0"/>
      <w:lang w:val="en-GB" w:eastAsia="en-US"/>
    </w:rPr>
  </w:style>
  <w:style w:type="paragraph" w:customStyle="1" w:styleId="70">
    <w:name w:val="Table Contents"/>
    <w:basedOn w:val="1"/>
    <w:uiPriority w:val="6"/>
    <w:pPr>
      <w:suppressLineNumbers/>
    </w:pPr>
  </w:style>
  <w:style w:type="paragraph" w:customStyle="1" w:styleId="71">
    <w:name w:val="Table Heading"/>
    <w:basedOn w:val="70"/>
    <w:uiPriority w:val="6"/>
    <w:rPr>
      <w:b/>
      <w:bCs/>
    </w:rPr>
  </w:style>
  <w:style w:type="paragraph" w:customStyle="1" w:styleId="72">
    <w:name w:val="Frame Contents"/>
    <w:basedOn w:val="1"/>
    <w:uiPriority w:val="6"/>
  </w:style>
  <w:style w:type="table" w:customStyle="1" w:styleId="73">
    <w:name w:val="表格"/>
    <w:basedOn w:val="20"/>
    <w:uiPriority w:val="99"/>
    <w:rPr>
      <w:rFonts w:eastAsiaTheme="minorEastAsia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">
    <w:name w:val="Table"/>
    <w:basedOn w:val="22"/>
    <w:uiPriority w:val="99"/>
    <w:rPr>
      <w:rFonts w:eastAsia="宋体"/>
      <w:sz w:val="21"/>
    </w:rPr>
  </w:style>
  <w:style w:type="paragraph" w:customStyle="1" w:styleId="75">
    <w:name w:val="Source Code"/>
    <w:uiPriority w:val="0"/>
    <w:pPr>
      <w:wordWrap w:val="0"/>
    </w:pPr>
    <w:rPr>
      <w:rFonts w:ascii="Times New Roman" w:hAnsi="Times New Roman" w:eastAsia="等线" w:cs="Times New Roman"/>
      <w:lang w:val="en-US" w:eastAsia="zh-CN" w:bidi="ar-SA"/>
    </w:rPr>
  </w:style>
  <w:style w:type="character" w:customStyle="1" w:styleId="76">
    <w:name w:val="KeywordTok"/>
    <w:uiPriority w:val="0"/>
    <w:rPr>
      <w:b/>
      <w:color w:val="007020"/>
    </w:rPr>
  </w:style>
  <w:style w:type="character" w:customStyle="1" w:styleId="77">
    <w:name w:val="DataTypeTok"/>
    <w:uiPriority w:val="0"/>
    <w:rPr>
      <w:color w:val="902000"/>
    </w:rPr>
  </w:style>
  <w:style w:type="character" w:customStyle="1" w:styleId="78">
    <w:name w:val="DecValTok"/>
    <w:uiPriority w:val="0"/>
    <w:rPr>
      <w:color w:val="40A070"/>
    </w:rPr>
  </w:style>
  <w:style w:type="character" w:customStyle="1" w:styleId="79">
    <w:name w:val="BaseNTok"/>
    <w:uiPriority w:val="0"/>
    <w:rPr>
      <w:color w:val="40A070"/>
    </w:rPr>
  </w:style>
  <w:style w:type="character" w:customStyle="1" w:styleId="80">
    <w:name w:val="FloatTok"/>
    <w:uiPriority w:val="0"/>
    <w:rPr>
      <w:color w:val="40A070"/>
    </w:rPr>
  </w:style>
  <w:style w:type="character" w:customStyle="1" w:styleId="81">
    <w:name w:val="ConstantTok"/>
    <w:uiPriority w:val="0"/>
    <w:rPr>
      <w:color w:val="880000"/>
    </w:rPr>
  </w:style>
  <w:style w:type="character" w:customStyle="1" w:styleId="82">
    <w:name w:val="CharTok"/>
    <w:uiPriority w:val="0"/>
    <w:rPr>
      <w:color w:val="4070A0"/>
    </w:rPr>
  </w:style>
  <w:style w:type="character" w:customStyle="1" w:styleId="83">
    <w:name w:val="SpecialCharTok"/>
    <w:uiPriority w:val="0"/>
    <w:rPr>
      <w:color w:val="4070A0"/>
    </w:rPr>
  </w:style>
  <w:style w:type="character" w:customStyle="1" w:styleId="84">
    <w:name w:val="StringTok"/>
    <w:uiPriority w:val="0"/>
    <w:rPr>
      <w:color w:val="4070A0"/>
    </w:rPr>
  </w:style>
  <w:style w:type="character" w:customStyle="1" w:styleId="85">
    <w:name w:val="VerbatimStringTok"/>
    <w:uiPriority w:val="0"/>
    <w:rPr>
      <w:color w:val="4070A0"/>
    </w:rPr>
  </w:style>
  <w:style w:type="character" w:customStyle="1" w:styleId="86">
    <w:name w:val="SpecialStringTok"/>
    <w:uiPriority w:val="0"/>
    <w:rPr>
      <w:color w:val="BB6688"/>
    </w:rPr>
  </w:style>
  <w:style w:type="character" w:customStyle="1" w:styleId="87">
    <w:name w:val="ImportTok"/>
    <w:uiPriority w:val="0"/>
    <w:rPr>
      <w:b/>
      <w:color w:val="008000"/>
    </w:rPr>
  </w:style>
  <w:style w:type="character" w:customStyle="1" w:styleId="88">
    <w:name w:val="CommentTok"/>
    <w:uiPriority w:val="0"/>
    <w:rPr>
      <w:i/>
      <w:color w:val="60A0B0"/>
    </w:rPr>
  </w:style>
  <w:style w:type="character" w:customStyle="1" w:styleId="89">
    <w:name w:val="DocumentationTok"/>
    <w:uiPriority w:val="0"/>
    <w:rPr>
      <w:i/>
      <w:color w:val="BA2121"/>
    </w:rPr>
  </w:style>
  <w:style w:type="character" w:customStyle="1" w:styleId="90">
    <w:name w:val="AnnotationTok"/>
    <w:uiPriority w:val="0"/>
    <w:rPr>
      <w:b/>
      <w:i/>
      <w:color w:val="60A0B0"/>
    </w:rPr>
  </w:style>
  <w:style w:type="character" w:customStyle="1" w:styleId="91">
    <w:name w:val="CommentVarTok"/>
    <w:uiPriority w:val="0"/>
    <w:rPr>
      <w:b/>
      <w:i/>
      <w:color w:val="60A0B0"/>
    </w:rPr>
  </w:style>
  <w:style w:type="character" w:customStyle="1" w:styleId="92">
    <w:name w:val="OtherTok"/>
    <w:uiPriority w:val="0"/>
    <w:rPr>
      <w:color w:val="007020"/>
    </w:rPr>
  </w:style>
  <w:style w:type="character" w:customStyle="1" w:styleId="93">
    <w:name w:val="FunctionTok"/>
    <w:uiPriority w:val="0"/>
    <w:rPr>
      <w:color w:val="06287E"/>
    </w:rPr>
  </w:style>
  <w:style w:type="character" w:customStyle="1" w:styleId="94">
    <w:name w:val="VariableTok"/>
    <w:uiPriority w:val="0"/>
    <w:rPr>
      <w:color w:val="19177C"/>
    </w:rPr>
  </w:style>
  <w:style w:type="character" w:customStyle="1" w:styleId="95">
    <w:name w:val="ControlFlowTok"/>
    <w:uiPriority w:val="0"/>
    <w:rPr>
      <w:b/>
      <w:color w:val="007020"/>
    </w:rPr>
  </w:style>
  <w:style w:type="character" w:customStyle="1" w:styleId="96">
    <w:name w:val="OperatorTok"/>
    <w:uiPriority w:val="0"/>
    <w:rPr>
      <w:color w:val="666666"/>
    </w:rPr>
  </w:style>
  <w:style w:type="character" w:customStyle="1" w:styleId="97">
    <w:name w:val="BuiltInTok"/>
    <w:uiPriority w:val="0"/>
    <w:rPr>
      <w:color w:val="008000"/>
    </w:rPr>
  </w:style>
  <w:style w:type="character" w:customStyle="1" w:styleId="98">
    <w:name w:val="ExtensionTok"/>
    <w:uiPriority w:val="0"/>
  </w:style>
  <w:style w:type="character" w:customStyle="1" w:styleId="99">
    <w:name w:val="PreprocessorTok"/>
    <w:uiPriority w:val="0"/>
    <w:rPr>
      <w:color w:val="BC7A00"/>
    </w:rPr>
  </w:style>
  <w:style w:type="character" w:customStyle="1" w:styleId="100">
    <w:name w:val="AttributeTok"/>
    <w:uiPriority w:val="0"/>
    <w:rPr>
      <w:color w:val="7D9029"/>
    </w:rPr>
  </w:style>
  <w:style w:type="character" w:customStyle="1" w:styleId="101">
    <w:name w:val="RegionMarkerTok"/>
    <w:uiPriority w:val="0"/>
  </w:style>
  <w:style w:type="character" w:customStyle="1" w:styleId="102">
    <w:name w:val="InformationTok"/>
    <w:uiPriority w:val="0"/>
    <w:rPr>
      <w:b/>
      <w:i/>
      <w:color w:val="60A0B0"/>
    </w:rPr>
  </w:style>
  <w:style w:type="character" w:customStyle="1" w:styleId="103">
    <w:name w:val="WarningTok"/>
    <w:uiPriority w:val="0"/>
    <w:rPr>
      <w:b/>
      <w:i/>
      <w:color w:val="60A0B0"/>
    </w:rPr>
  </w:style>
  <w:style w:type="character" w:customStyle="1" w:styleId="104">
    <w:name w:val="AlertTok"/>
    <w:uiPriority w:val="0"/>
    <w:rPr>
      <w:b/>
      <w:color w:val="FF0000"/>
    </w:rPr>
  </w:style>
  <w:style w:type="character" w:customStyle="1" w:styleId="105">
    <w:name w:val="ErrorTok"/>
    <w:uiPriority w:val="0"/>
    <w:rPr>
      <w:b/>
      <w:color w:val="FF0000"/>
    </w:rPr>
  </w:style>
  <w:style w:type="character" w:customStyle="1" w:styleId="106">
    <w:name w:val="NormalTok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2559</Words>
  <Characters>2765</Characters>
  <Lines>276</Lines>
  <Paragraphs>332</Paragraphs>
  <TotalTime>1</TotalTime>
  <ScaleCrop>false</ScaleCrop>
  <LinksUpToDate>false</LinksUpToDate>
  <CharactersWithSpaces>4992</CharactersWithSpaces>
  <Application>WPS Office_12.1.25200.25200_F1E327BC-269C-435d-A152-05C5408002CA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2026-03-27T02:42:00Z</dcterms:created>
  <dc:creator>系统设计团队</dc:creator>
  <cp:lastModifiedBy>weijie Tang</cp:lastModifiedBy>
  <dcterms:modified xsi:type="dcterms:W3CDTF">2026-03-26T18:54:17Z</dcterms:modified>
  <dc:title>福建水务营收系统整体部署方案说明书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ty">
    <vt:lpwstr>secondary</vt:lpwstr>
  </property>
  <property fmtid="{D5CDD505-2E9C-101B-9397-08002B2CF9AE}" pid="3" name="date">
    <vt:lpwstr>2026年03月26日</vt:lpwstr>
  </property>
  <property fmtid="{D5CDD505-2E9C-101B-9397-08002B2CF9AE}" pid="4" name="doc_id">
    <vt:lpwstr>TC-08-INTEGRATED-DEPLOYMENT</vt:lpwstr>
  </property>
  <property fmtid="{D5CDD505-2E9C-101B-9397-08002B2CF9AE}" pid="5" name="doc_role">
    <vt:lpwstr>supplemental_document</vt:lpwstr>
  </property>
  <property fmtid="{D5CDD505-2E9C-101B-9397-08002B2CF9AE}" pid="6" name="last_reviewed">
    <vt:lpwstr>2026-03-26</vt:lpwstr>
  </property>
  <property fmtid="{D5CDD505-2E9C-101B-9397-08002B2CF9AE}" pid="7" name="retrieval_priority">
    <vt:lpwstr>P1</vt:lpwstr>
  </property>
  <property fmtid="{D5CDD505-2E9C-101B-9397-08002B2CF9AE}" pid="8" name="scope">
    <vt:lpwstr>方案二整体部署</vt:lpwstr>
  </property>
  <property fmtid="{D5CDD505-2E9C-101B-9397-08002B2CF9AE}" pid="9" name="source_of_truth">
    <vt:lpwstr>False</vt:lpwstr>
  </property>
  <property fmtid="{D5CDD505-2E9C-101B-9397-08002B2CF9AE}" pid="10" name="KSOProductBuildVer">
    <vt:lpwstr>2052-12.1.25200.25200</vt:lpwstr>
  </property>
  <property fmtid="{D5CDD505-2E9C-101B-9397-08002B2CF9AE}" pid="11" name="ICV">
    <vt:lpwstr>8805D8ABA01096812B0FC569B52F88B3_42</vt:lpwstr>
  </property>
</Properties>
</file>