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福建水务营收系统-统一平台模块正文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2" w:name="福建水务营收系统详细设计-统一平台模块正文"/>
    <w:p>
      <w:pPr>
        <w:pStyle w:val="1"/>
      </w:pPr>
      <w:r>
        <w:rPr>
          <w:rFonts w:hint="eastAsia"/>
        </w:rPr>
        <w:t xml:space="preserve">福建水务营收系统详细设计-统一平台模块正文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content">
        <w:r>
          <w:rPr>
            <w:rStyle w:val="ac"/>
            <w:rFonts w:hint="eastAsia"/>
          </w:rPr>
          <w:t xml:space="preserve">统一平台详细设计正文</w:t>
        </w:r>
      </w:hyperlink>
    </w:p>
    <w:p>
      <w:pPr>
        <w:pStyle w:val="Compact"/>
        <w:numPr>
          <w:ilvl w:val="1"/>
          <w:numId w:val="1002"/>
        </w:numPr>
      </w:pPr>
      <w:hyperlink w:anchor="mod-up-001">
        <w:r>
          <w:rPr>
            <w:rStyle w:val="ac"/>
          </w:rPr>
          <w:t xml:space="preserve">UP-001 </w:t>
        </w:r>
        <w:r>
          <w:rPr>
            <w:rStyle w:val="ac"/>
            <w:rFonts w:hint="eastAsia"/>
          </w:rPr>
          <w:t xml:space="preserve">统一认证与单点登录</w:t>
        </w:r>
      </w:hyperlink>
    </w:p>
    <w:p>
      <w:pPr>
        <w:pStyle w:val="Compact"/>
        <w:numPr>
          <w:ilvl w:val="1"/>
          <w:numId w:val="1002"/>
        </w:numPr>
      </w:pPr>
      <w:hyperlink w:anchor="mod-up-002">
        <w:r>
          <w:rPr>
            <w:rStyle w:val="ac"/>
          </w:rPr>
          <w:t xml:space="preserve">UP-002 </w:t>
        </w:r>
        <w:r>
          <w:rPr>
            <w:rStyle w:val="ac"/>
            <w:rFonts w:hint="eastAsia"/>
          </w:rPr>
          <w:t xml:space="preserve">组织用户与权限管理</w:t>
        </w:r>
      </w:hyperlink>
    </w:p>
    <w:p>
      <w:pPr>
        <w:pStyle w:val="Compact"/>
        <w:numPr>
          <w:ilvl w:val="1"/>
          <w:numId w:val="1002"/>
        </w:numPr>
      </w:pPr>
      <w:hyperlink w:anchor="mod-up-003">
        <w:r>
          <w:rPr>
            <w:rStyle w:val="ac"/>
          </w:rPr>
          <w:t xml:space="preserve">UP-003 </w:t>
        </w:r>
        <w:r>
          <w:rPr>
            <w:rStyle w:val="ac"/>
            <w:rFonts w:hint="eastAsia"/>
          </w:rPr>
          <w:t xml:space="preserve">参数字典与基础配置</w:t>
        </w:r>
      </w:hyperlink>
    </w:p>
    <w:p>
      <w:pPr>
        <w:pStyle w:val="Compact"/>
        <w:numPr>
          <w:ilvl w:val="1"/>
          <w:numId w:val="1002"/>
        </w:numPr>
      </w:pPr>
      <w:hyperlink w:anchor="mod-up-004">
        <w:r>
          <w:rPr>
            <w:rStyle w:val="ac"/>
          </w:rPr>
          <w:t xml:space="preserve">UP-004 </w:t>
        </w:r>
        <w:r>
          <w:rPr>
            <w:rStyle w:val="ac"/>
            <w:rFonts w:hint="eastAsia"/>
          </w:rPr>
          <w:t xml:space="preserve">审计监控与运维支撑</w:t>
        </w:r>
      </w:hyperlink>
    </w:p>
    <w:p>
      <w:pPr>
        <w:pStyle w:val="FirstParagraph"/>
      </w:pPr>
    </w:p>
    <w:bookmarkEnd w:id="20"/>
    <w:bookmarkStart w:id="21" w:name="文档定位"/>
    <w:p>
      <w:pPr>
        <w:pStyle w:val="2"/>
      </w:pP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本文档为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中“统一平台详细设计”章节的模块正文拆分稿，便于按模块独立维护。正式交付口径以主详设为准。</w:t>
      </w:r>
    </w:p>
    <w:p>
      <w:pPr>
        <w:pStyle w:val="a5"/>
      </w:pPr>
    </w:p>
    <w:bookmarkEnd w:id="21"/>
    <w:bookmarkEnd w:id="22"/>
    <w:bookmarkStart w:id="38" w:name="统一平台详细设计"/>
    <w:p>
      <w:pPr>
        <w:pStyle w:val="1"/>
      </w:pPr>
      <w:r>
        <w:rPr>
          <w:rFonts w:hint="eastAsia"/>
        </w:rPr>
        <w:t xml:space="preserve">统一平台详细设计</w:t>
      </w:r>
    </w:p>
    <w:p>
      <w:pPr>
        <w:pStyle w:val="FirstParagraph"/>
      </w:pPr>
    </w:p>
    <w:bookmarkStart w:id="27" w:name="up-001-统一认证与单点登录"/>
    <w:p>
      <w:pPr>
        <w:pStyle w:val="2"/>
      </w:pPr>
      <w:r>
        <w:t xml:space="preserve">UP-001 </w:t>
      </w:r>
      <w:r>
        <w:rPr>
          <w:rFonts w:hint="eastAsia"/>
        </w:rPr>
        <w:t xml:space="preserve">统一认证与单点登录</w:t>
      </w:r>
    </w:p>
    <w:bookmarkStart w:id="23" w:name="功能说明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t xml:space="preserve">UP-001 </w:t>
      </w:r>
      <w:r>
        <w:rPr>
          <w:rFonts w:hint="eastAsia"/>
        </w:rPr>
        <w:t xml:space="preserve">为全系统提供统一身份认证与单点登录能力，支撑</w:t>
      </w:r>
      <w:r>
        <w:t xml:space="preserve"> PC </w:t>
      </w:r>
      <w:r>
        <w:rPr>
          <w:rFonts w:hint="eastAsia"/>
        </w:rPr>
        <w:t xml:space="preserve">管理端、移动作业端、客户渠道及外部集成应用的统一接入。</w:t>
      </w:r>
    </w:p>
    <w:bookmarkEnd w:id="23"/>
    <w:bookmarkStart w:id="24" w:name="关键设计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支持用户名密码登录、短信验证码登录、第三方授权登录。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采用</w:t>
      </w:r>
      <w:r>
        <w:t xml:space="preserve"> OAuth2.0 + JWT </w:t>
      </w:r>
      <w:r>
        <w:rPr>
          <w:rFonts w:hint="eastAsia"/>
        </w:rPr>
        <w:t xml:space="preserve">实现访问令牌签发与会话管理。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对外部系统开放标准认证接口，支持令牌续期与退出失效。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对高敏感操作支持</w:t>
      </w:r>
      <w:r>
        <w:t xml:space="preserve"> MFA </w:t>
      </w:r>
      <w:r>
        <w:rPr>
          <w:rFonts w:hint="eastAsia"/>
        </w:rPr>
        <w:t xml:space="preserve">二次校验。</w:t>
      </w:r>
    </w:p>
    <w:bookmarkEnd w:id="24"/>
    <w:bookmarkStart w:id="25" w:name="业务流程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sequenceDiagram</w:t>
      </w:r>
      <w:r>
        <w:br/>
      </w:r>
      <w:r>
        <w:rPr>
          <w:rStyle w:val="VerbatimChar"/>
        </w:rPr>
        <w:t xml:space="preserve">    participant </w:t>
      </w:r>
      <w:r>
        <w:rPr>
          <w:rStyle w:val="VerbatimChar"/>
          <w:rFonts w:hint="eastAsia"/>
        </w:rPr>
        <w:t xml:space="preserve">用户</w:t>
      </w:r>
      <w:r>
        <w:br/>
      </w:r>
      <w:r>
        <w:rPr>
          <w:rStyle w:val="VerbatimChar"/>
        </w:rPr>
        <w:t xml:space="preserve">    participant </w:t>
      </w:r>
      <w:r>
        <w:rPr>
          <w:rStyle w:val="VerbatimChar"/>
          <w:rFonts w:hint="eastAsia"/>
        </w:rPr>
        <w:t xml:space="preserve">接入端</w:t>
      </w:r>
      <w:r>
        <w:br/>
      </w:r>
      <w:r>
        <w:rPr>
          <w:rStyle w:val="VerbatimChar"/>
        </w:rPr>
        <w:t xml:space="preserve">    participant </w:t>
      </w:r>
      <w:r>
        <w:rPr>
          <w:rStyle w:val="VerbatimChar"/>
          <w:rFonts w:hint="eastAsia"/>
        </w:rPr>
        <w:t xml:space="preserve">认证中心</w:t>
      </w:r>
      <w:r>
        <w:br/>
      </w:r>
      <w:r>
        <w:rPr>
          <w:rStyle w:val="VerbatimChar"/>
        </w:rPr>
        <w:t xml:space="preserve">    participant </w:t>
      </w:r>
      <w:r>
        <w:rPr>
          <w:rStyle w:val="VerbatimChar"/>
          <w:rFonts w:hint="eastAsia"/>
        </w:rPr>
        <w:t xml:space="preserve">用户中心</w:t>
      </w:r>
      <w:r>
        <w:br/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用户-&gt;&gt;接入端: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提交登录信息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接入端-&gt;&gt;认证中心: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发起认证请求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认证中心-&gt;&gt;用户中心: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校验用户/角色/状态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用户中心--&gt;&gt;认证中心: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返回校验结果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认证中心--&gt;&gt;接入端: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返回Token/权限上下文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接入端--&gt;&gt;用户: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登录成功并进入目标系统</w:t>
      </w:r>
    </w:p>
    <w:bookmarkEnd w:id="25"/>
    <w:bookmarkStart w:id="26" w:name="核心数据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system_users</w:t>
      </w:r>
      <w:r>
        <w:rPr>
          <w:rFonts w:hint="eastAsia"/>
        </w:rPr>
        <w:t xml:space="preserve">：用户基本信息。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system_oauth2_client</w:t>
      </w:r>
      <w:r>
        <w:rPr>
          <w:rFonts w:hint="eastAsia"/>
        </w:rPr>
        <w:t xml:space="preserve">：客户端信息。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system_oauth2_access_token</w:t>
      </w:r>
      <w:r>
        <w:rPr>
          <w:rFonts w:hint="eastAsia"/>
        </w:rPr>
        <w:t xml:space="preserve">：访问令牌。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system_oauth2_refresh_token</w:t>
      </w:r>
      <w:r>
        <w:rPr>
          <w:rFonts w:hint="eastAsia"/>
        </w:rPr>
        <w:t xml:space="preserve">：刷新令牌。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system_login_log</w:t>
      </w:r>
      <w:r>
        <w:rPr>
          <w:rFonts w:hint="eastAsia"/>
        </w:rPr>
        <w:t xml:space="preserve">：登录审计日志。</w:t>
      </w:r>
    </w:p>
    <w:p>
      <w:pPr>
        <w:pStyle w:val="FirstParagraph"/>
      </w:pPr>
    </w:p>
    <w:bookmarkEnd w:id="26"/>
    <w:bookmarkEnd w:id="27"/>
    <w:bookmarkStart w:id="31" w:name="up-002-组织用户与权限管理"/>
    <w:p>
      <w:pPr>
        <w:pStyle w:val="2"/>
      </w:pPr>
      <w:r>
        <w:t xml:space="preserve">UP-002 </w:t>
      </w:r>
      <w:r>
        <w:rPr>
          <w:rFonts w:hint="eastAsia"/>
        </w:rPr>
        <w:t xml:space="preserve">组织用户与权限管理</w:t>
      </w:r>
    </w:p>
    <w:bookmarkStart w:id="28" w:name="功能说明-1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t xml:space="preserve">UP-002 </w:t>
      </w:r>
      <w:r>
        <w:rPr>
          <w:rFonts w:hint="eastAsia"/>
        </w:rPr>
        <w:t xml:space="preserve">管理组织机构、岗位、角色、菜单、数据权限和用户授权关系，是业务系统权限控制与数据隔离的基础。</w:t>
      </w:r>
    </w:p>
    <w:bookmarkEnd w:id="28"/>
    <w:bookmarkStart w:id="29" w:name="关键设计-1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支持集团—区域公司—营业所三级及以上组织结构。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基于</w:t>
      </w:r>
      <w:r>
        <w:t xml:space="preserve"> RBAC </w:t>
      </w:r>
      <w:r>
        <w:rPr>
          <w:rFonts w:hint="eastAsia"/>
        </w:rPr>
        <w:t xml:space="preserve">实现菜单权限、按钮权限、数据权限。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支持多租户/多单位数据隔离与用户归属控制。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敏感操作如账务调整、退款、作废、签章回退必须经过权限校验。</w:t>
      </w:r>
    </w:p>
    <w:bookmarkEnd w:id="29"/>
    <w:bookmarkStart w:id="30" w:name="主要规则"/>
    <w:p>
      <w:pPr>
        <w:pStyle w:val="3"/>
      </w:pPr>
      <w:r>
        <w:rPr>
          <w:rFonts w:hint="eastAsia"/>
        </w:rPr>
        <w:t xml:space="preserve">主要规则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角色权限与组织权限叠加生效。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业务数据默认按所属单位、片区、岗位范围过滤。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超权限查询、批量导出、敏感字段查看需单独授权。</w:t>
      </w:r>
    </w:p>
    <w:p>
      <w:pPr>
        <w:pStyle w:val="FirstParagraph"/>
      </w:pPr>
    </w:p>
    <w:bookmarkEnd w:id="30"/>
    <w:bookmarkEnd w:id="31"/>
    <w:bookmarkStart w:id="34" w:name="up-003-参数字典与基础配置"/>
    <w:p>
      <w:pPr>
        <w:pStyle w:val="2"/>
      </w:pPr>
      <w:r>
        <w:t xml:space="preserve">UP-003 </w:t>
      </w:r>
      <w:r>
        <w:rPr>
          <w:rFonts w:hint="eastAsia"/>
        </w:rPr>
        <w:t xml:space="preserve">参数字典与基础配置</w:t>
      </w:r>
    </w:p>
    <w:bookmarkStart w:id="32" w:name="功能说明-2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t xml:space="preserve">UP-003 </w:t>
      </w:r>
      <w:r>
        <w:rPr>
          <w:rFonts w:hint="eastAsia"/>
        </w:rPr>
        <w:t xml:space="preserve">用于统一维护业务参数、地址参数、水价规则、短信模板、打印模板、字典数据与定时任务参数。</w:t>
      </w:r>
    </w:p>
    <w:bookmarkEnd w:id="32"/>
    <w:bookmarkStart w:id="33" w:name="关键设计-2"/>
    <w:p>
      <w:pPr>
        <w:pStyle w:val="3"/>
      </w:pPr>
      <w:r>
        <w:rPr>
          <w:rFonts w:hint="eastAsia"/>
        </w:rPr>
        <w:t xml:space="preserve">关键设计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典型内容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业务字典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客户类型、抄表方式、工单状态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统一编码与展示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地址参数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行政区划、片区、册本归属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客户与表务归属管理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价格体系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用水性质、阶梯水价、污水费规则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开账与账务计算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渠道参数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支付渠道、短信模板、税控配置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外部接口集成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任务参数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自动开账、对账、备份周期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运维调度</w:t>
            </w:r>
          </w:p>
        </w:tc>
      </w:tr>
    </w:tbl>
    <w:p>
      <w:pPr>
        <w:pStyle w:val="a5"/>
      </w:pPr>
    </w:p>
    <w:bookmarkEnd w:id="33"/>
    <w:bookmarkEnd w:id="34"/>
    <w:bookmarkStart w:id="37" w:name="up-004-审计监控与运维支撑"/>
    <w:p>
      <w:pPr>
        <w:pStyle w:val="2"/>
      </w:pPr>
      <w:r>
        <w:t xml:space="preserve">UP-004 </w:t>
      </w:r>
      <w:r>
        <w:rPr>
          <w:rFonts w:hint="eastAsia"/>
        </w:rPr>
        <w:t xml:space="preserve">审计监控与运维支撑</w:t>
      </w:r>
    </w:p>
    <w:bookmarkStart w:id="35" w:name="功能说明-3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t xml:space="preserve">UP-004 </w:t>
      </w:r>
      <w:r>
        <w:rPr>
          <w:rFonts w:hint="eastAsia"/>
        </w:rPr>
        <w:t xml:space="preserve">提供操作日志、登录日志、接口日志、异常监控、在线用户、任务监控、性能监控等能力。</w:t>
      </w:r>
    </w:p>
    <w:bookmarkEnd w:id="35"/>
    <w:bookmarkStart w:id="36" w:name="关键设计-3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所有核心业务操作写入统一审计日志。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接口调用成功率、响应时长、异常码进入监控平台。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定时任务执行结果、失败重试与人工补偿过程可追踪。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监控与告警支持短信、邮件、站内信等通知方式。</w:t>
      </w:r>
    </w:p>
    <w:bookmarkEnd w:id="36"/>
    <w:bookmarkEnd w:id="37"/>
    <w:bookmarkEnd w:id="38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福建水务营收系统-统一平台模块正文</dc:title>
  <dc:creator>系统设计团队</dc:creator>
  <cp:keywords/>
  <dcterms:created xsi:type="dcterms:W3CDTF">2026-04-02T09:26:32Z</dcterms:created>
  <dcterms:modified xsi:type="dcterms:W3CDTF">2026-04-02T09:26:32Z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DT-11-UP</vt:lpwstr>
  </property>
  <property fmtid="{D5CDD505-2E9C-101B-9397-08002B2CF9AE}" pid="6" name="doc_role">
    <vt:lpwstr>module_body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详细设计-统一平台</vt:lpwstr>
  </property>
  <property fmtid="{D5CDD505-2E9C-101B-9397-08002B2CF9AE}" pid="14" name="source_of_truth">
    <vt:lpwstr>False</vt:lpwstr>
  </property>
</Properties>
</file>